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pStyle w:val="2"/>
        <w:numPr>
          <w:ilvl w:val="0"/>
          <w:numId w:val="0"/>
        </w:numPr>
        <w:snapToGrid w:val="0"/>
        <w:jc w:val="center"/>
        <w:rPr>
          <w:rFonts w:ascii="宋体" w:hAnsi="宋体" w:eastAsia="宋体"/>
          <w:bCs/>
          <w:sz w:val="36"/>
        </w:rPr>
      </w:pPr>
      <w:bookmarkStart w:id="0" w:name="_Hlk109856827"/>
      <w:bookmarkStart w:id="1" w:name="OLE_LINK1"/>
      <w:r>
        <w:rPr>
          <w:rFonts w:hint="eastAsia" w:ascii="宋体" w:hAnsi="宋体" w:eastAsia="宋体"/>
          <w:bCs/>
          <w:sz w:val="36"/>
        </w:rPr>
        <w:t>富源县中医医院智慧医院信息化建设项目</w:t>
      </w:r>
    </w:p>
    <w:bookmarkEnd w:id="0"/>
    <w:p>
      <w:pPr>
        <w:pStyle w:val="2"/>
        <w:numPr>
          <w:ilvl w:val="0"/>
          <w:numId w:val="0"/>
        </w:numPr>
        <w:snapToGrid w:val="0"/>
        <w:jc w:val="center"/>
        <w:rPr>
          <w:rFonts w:ascii="宋体" w:hAnsi="宋体" w:eastAsia="宋体"/>
          <w:bCs/>
          <w:sz w:val="36"/>
        </w:rPr>
      </w:pPr>
      <w:r>
        <w:rPr>
          <w:rFonts w:ascii="宋体" w:hAnsi="宋体" w:eastAsia="宋体"/>
          <w:bCs/>
          <w:sz w:val="36"/>
        </w:rPr>
        <w:t>招标公告</w:t>
      </w:r>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sz w:val="24"/>
        </w:rPr>
      </w:pPr>
      <w:r>
        <w:rPr>
          <w:rFonts w:hint="eastAsia" w:ascii="仿宋" w:hAnsi="仿宋" w:eastAsia="仿宋"/>
          <w:sz w:val="24"/>
        </w:rPr>
        <w:t>项目概况</w:t>
      </w:r>
    </w:p>
    <w:p>
      <w:pPr>
        <w:pBdr>
          <w:top w:val="single" w:color="auto" w:sz="4" w:space="1"/>
          <w:left w:val="single" w:color="auto" w:sz="4" w:space="4"/>
          <w:bottom w:val="single" w:color="auto" w:sz="4" w:space="1"/>
          <w:right w:val="single" w:color="auto" w:sz="4" w:space="4"/>
        </w:pBdr>
        <w:ind w:firstLine="480" w:firstLineChars="200"/>
        <w:rPr>
          <w:rFonts w:ascii="仿宋" w:hAnsi="仿宋" w:eastAsia="仿宋"/>
          <w:sz w:val="24"/>
        </w:rPr>
      </w:pPr>
      <w:r>
        <w:rPr>
          <w:rFonts w:hint="eastAsia" w:ascii="仿宋" w:hAnsi="仿宋" w:eastAsia="仿宋"/>
          <w:sz w:val="24"/>
          <w:u w:val="single"/>
        </w:rPr>
        <w:t>富源县中医医院智慧医院信息化建设项目招标项目的潜在投标人应在全国公共资源交易平台（云南省）/云南省公共资源交易信息网（网址：http://ggzy.yn.gov.cn/），选择地区“曲靖市”，切换至曲靖市公共资源交易电子服务系统/全国公共资源交易平台（云南省·曲靖市）获取招标文件，并于2022年</w:t>
      </w:r>
      <w:r>
        <w:rPr>
          <w:rFonts w:ascii="仿宋" w:hAnsi="仿宋" w:eastAsia="仿宋"/>
          <w:sz w:val="24"/>
          <w:u w:val="single"/>
        </w:rPr>
        <w:t>08</w:t>
      </w:r>
      <w:r>
        <w:rPr>
          <w:rFonts w:hint="eastAsia" w:ascii="仿宋" w:hAnsi="仿宋" w:eastAsia="仿宋"/>
          <w:sz w:val="24"/>
          <w:u w:val="single"/>
        </w:rPr>
        <w:t>月</w:t>
      </w:r>
      <w:r>
        <w:rPr>
          <w:rFonts w:ascii="仿宋" w:hAnsi="仿宋" w:eastAsia="仿宋"/>
          <w:sz w:val="24"/>
          <w:u w:val="single"/>
        </w:rPr>
        <w:t>18</w:t>
      </w:r>
      <w:r>
        <w:rPr>
          <w:rFonts w:hint="eastAsia" w:ascii="仿宋" w:hAnsi="仿宋" w:eastAsia="仿宋"/>
          <w:sz w:val="24"/>
          <w:u w:val="single"/>
        </w:rPr>
        <w:t>日</w:t>
      </w:r>
      <w:r>
        <w:rPr>
          <w:rFonts w:ascii="仿宋" w:hAnsi="仿宋" w:eastAsia="仿宋"/>
          <w:sz w:val="24"/>
          <w:u w:val="single"/>
        </w:rPr>
        <w:t>15</w:t>
      </w:r>
      <w:r>
        <w:rPr>
          <w:rFonts w:hint="eastAsia" w:ascii="仿宋" w:hAnsi="仿宋" w:eastAsia="仿宋"/>
          <w:sz w:val="24"/>
          <w:u w:val="single"/>
        </w:rPr>
        <w:t>点</w:t>
      </w:r>
      <w:r>
        <w:rPr>
          <w:rFonts w:ascii="仿宋" w:hAnsi="仿宋" w:eastAsia="仿宋"/>
          <w:sz w:val="24"/>
          <w:u w:val="single"/>
        </w:rPr>
        <w:t>00</w:t>
      </w:r>
      <w:r>
        <w:rPr>
          <w:rFonts w:hint="eastAsia" w:ascii="仿宋" w:hAnsi="仿宋" w:eastAsia="仿宋"/>
          <w:sz w:val="24"/>
          <w:u w:val="single"/>
        </w:rPr>
        <w:t>分（北京时间）前递交投标文件。</w:t>
      </w:r>
    </w:p>
    <w:p>
      <w:pPr>
        <w:pStyle w:val="3"/>
        <w:numPr>
          <w:ilvl w:val="1"/>
          <w:numId w:val="0"/>
        </w:numPr>
        <w:tabs>
          <w:tab w:val="left" w:pos="596"/>
        </w:tabs>
        <w:snapToGrid w:val="0"/>
        <w:ind w:left="596" w:hanging="596"/>
        <w:jc w:val="left"/>
        <w:rPr>
          <w:rFonts w:ascii="黑体" w:hAnsi="黑体"/>
          <w:b w:val="0"/>
          <w:bCs/>
          <w:sz w:val="24"/>
          <w:szCs w:val="24"/>
        </w:rPr>
      </w:pPr>
      <w:bookmarkStart w:id="2" w:name="_Toc109825807"/>
      <w:bookmarkStart w:id="3" w:name="_Toc35393790"/>
      <w:bookmarkStart w:id="4" w:name="_Toc35393621"/>
      <w:bookmarkStart w:id="5" w:name="_Toc28359002"/>
      <w:bookmarkStart w:id="6" w:name="_Toc28359079"/>
      <w:r>
        <w:rPr>
          <w:rFonts w:hint="eastAsia" w:ascii="黑体" w:hAnsi="黑体"/>
          <w:b w:val="0"/>
          <w:bCs/>
          <w:sz w:val="24"/>
          <w:szCs w:val="24"/>
        </w:rPr>
        <w:t>一、项目基本情况</w:t>
      </w:r>
      <w:bookmarkEnd w:id="2"/>
      <w:bookmarkEnd w:id="3"/>
      <w:bookmarkEnd w:id="4"/>
      <w:bookmarkEnd w:id="5"/>
      <w:bookmarkEnd w:id="6"/>
    </w:p>
    <w:p>
      <w:pPr>
        <w:snapToGrid w:val="0"/>
        <w:spacing w:line="360" w:lineRule="exact"/>
        <w:ind w:firstLine="480" w:firstLineChars="200"/>
        <w:textAlignment w:val="baseline"/>
        <w:rPr>
          <w:rFonts w:ascii="仿宋" w:hAnsi="仿宋" w:eastAsia="仿宋"/>
          <w:color w:val="FF0000"/>
          <w:sz w:val="24"/>
        </w:rPr>
      </w:pPr>
      <w:r>
        <w:rPr>
          <w:rFonts w:hint="eastAsia" w:ascii="仿宋" w:hAnsi="仿宋" w:eastAsia="仿宋"/>
          <w:sz w:val="24"/>
        </w:rPr>
        <w:t>项目编号：I53A00822001110。</w:t>
      </w:r>
    </w:p>
    <w:p>
      <w:pPr>
        <w:snapToGrid w:val="0"/>
        <w:spacing w:line="360" w:lineRule="exact"/>
        <w:ind w:firstLine="480" w:firstLineChars="200"/>
        <w:textAlignment w:val="baseline"/>
        <w:rPr>
          <w:rFonts w:ascii="仿宋" w:hAnsi="仿宋" w:eastAsia="仿宋"/>
          <w:sz w:val="24"/>
        </w:rPr>
      </w:pPr>
      <w:r>
        <w:rPr>
          <w:rFonts w:hint="eastAsia" w:ascii="仿宋" w:hAnsi="仿宋" w:eastAsia="仿宋"/>
          <w:sz w:val="24"/>
        </w:rPr>
        <w:t>项目名称：富源县中医医院智慧医院信息化建设项目。</w:t>
      </w:r>
    </w:p>
    <w:p>
      <w:pPr>
        <w:snapToGrid w:val="0"/>
        <w:spacing w:line="360" w:lineRule="exact"/>
        <w:ind w:firstLine="480" w:firstLineChars="200"/>
        <w:textAlignment w:val="baseline"/>
        <w:rPr>
          <w:rFonts w:ascii="仿宋" w:hAnsi="仿宋" w:eastAsia="仿宋"/>
          <w:sz w:val="24"/>
        </w:rPr>
      </w:pPr>
      <w:r>
        <w:rPr>
          <w:rFonts w:hint="eastAsia" w:ascii="仿宋" w:hAnsi="仿宋" w:eastAsia="仿宋"/>
          <w:sz w:val="24"/>
        </w:rPr>
        <w:t>预算金额：</w:t>
      </w:r>
      <w:r>
        <w:rPr>
          <w:rFonts w:ascii="仿宋" w:hAnsi="仿宋" w:eastAsia="仿宋"/>
          <w:sz w:val="24"/>
        </w:rPr>
        <w:t>4500000</w:t>
      </w:r>
      <w:r>
        <w:rPr>
          <w:rFonts w:hint="eastAsia" w:ascii="仿宋" w:hAnsi="仿宋" w:eastAsia="仿宋"/>
          <w:sz w:val="24"/>
        </w:rPr>
        <w:t>.00元。</w:t>
      </w:r>
    </w:p>
    <w:p>
      <w:pPr>
        <w:snapToGrid w:val="0"/>
        <w:spacing w:line="360" w:lineRule="exact"/>
        <w:ind w:firstLine="480" w:firstLineChars="200"/>
        <w:textAlignment w:val="baseline"/>
        <w:rPr>
          <w:rFonts w:ascii="仿宋" w:hAnsi="仿宋" w:eastAsia="仿宋"/>
          <w:sz w:val="24"/>
        </w:rPr>
      </w:pPr>
      <w:r>
        <w:rPr>
          <w:rFonts w:hint="eastAsia" w:ascii="仿宋" w:hAnsi="仿宋" w:eastAsia="仿宋"/>
          <w:sz w:val="24"/>
        </w:rPr>
        <w:t>最高限价：</w:t>
      </w:r>
      <w:r>
        <w:rPr>
          <w:rFonts w:ascii="仿宋" w:hAnsi="仿宋" w:eastAsia="仿宋"/>
          <w:sz w:val="24"/>
        </w:rPr>
        <w:t>4500000</w:t>
      </w:r>
      <w:r>
        <w:rPr>
          <w:rFonts w:hint="eastAsia" w:ascii="仿宋" w:hAnsi="仿宋" w:eastAsia="仿宋"/>
          <w:sz w:val="24"/>
        </w:rPr>
        <w:t>.00元。</w:t>
      </w:r>
    </w:p>
    <w:p>
      <w:pPr>
        <w:snapToGrid w:val="0"/>
        <w:spacing w:line="360" w:lineRule="exact"/>
        <w:ind w:firstLine="480" w:firstLineChars="200"/>
        <w:textAlignment w:val="baseline"/>
        <w:rPr>
          <w:rFonts w:ascii="仿宋" w:hAnsi="仿宋" w:eastAsia="仿宋"/>
          <w:sz w:val="24"/>
        </w:rPr>
      </w:pPr>
      <w:r>
        <w:rPr>
          <w:rFonts w:hint="eastAsia" w:ascii="仿宋" w:hAnsi="仿宋" w:eastAsia="仿宋"/>
          <w:sz w:val="24"/>
        </w:rPr>
        <w:t>采购需求：</w:t>
      </w:r>
    </w:p>
    <w:tbl>
      <w:tblPr>
        <w:tblStyle w:val="6"/>
        <w:tblW w:w="5000" w:type="pct"/>
        <w:tblInd w:w="0" w:type="dxa"/>
        <w:tblLayout w:type="autofit"/>
        <w:tblCellMar>
          <w:top w:w="0" w:type="dxa"/>
          <w:left w:w="0" w:type="dxa"/>
          <w:bottom w:w="0" w:type="dxa"/>
          <w:right w:w="0" w:type="dxa"/>
        </w:tblCellMar>
      </w:tblPr>
      <w:tblGrid>
        <w:gridCol w:w="406"/>
        <w:gridCol w:w="1118"/>
        <w:gridCol w:w="1285"/>
        <w:gridCol w:w="4226"/>
        <w:gridCol w:w="703"/>
        <w:gridCol w:w="701"/>
        <w:gridCol w:w="1230"/>
      </w:tblGrid>
      <w:tr>
        <w:tblPrEx>
          <w:tblCellMar>
            <w:top w:w="0" w:type="dxa"/>
            <w:left w:w="0" w:type="dxa"/>
            <w:bottom w:w="0" w:type="dxa"/>
            <w:right w:w="0" w:type="dxa"/>
          </w:tblCellMar>
        </w:tblPrEx>
        <w:trPr>
          <w:trHeight w:val="618" w:hRule="atLeast"/>
        </w:trPr>
        <w:tc>
          <w:tcPr>
            <w:tcW w:w="2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eastAsia="仿宋" w:cs="仿宋"/>
                <w:b/>
                <w:bCs/>
                <w:sz w:val="24"/>
              </w:rPr>
            </w:pPr>
            <w:r>
              <w:rPr>
                <w:rFonts w:hint="eastAsia" w:eastAsia="仿宋" w:cs="仿宋"/>
                <w:b/>
                <w:bCs/>
                <w:kern w:val="0"/>
                <w:sz w:val="24"/>
                <w:lang w:bidi="ar"/>
              </w:rPr>
              <w:t>序号</w:t>
            </w:r>
          </w:p>
        </w:tc>
        <w:tc>
          <w:tcPr>
            <w:tcW w:w="5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eastAsia="仿宋" w:cs="仿宋"/>
                <w:b/>
                <w:bCs/>
                <w:sz w:val="24"/>
              </w:rPr>
            </w:pPr>
            <w:r>
              <w:rPr>
                <w:rFonts w:hint="eastAsia" w:eastAsia="仿宋" w:cs="仿宋"/>
                <w:b/>
                <w:bCs/>
                <w:kern w:val="0"/>
                <w:sz w:val="24"/>
                <w:lang w:bidi="ar"/>
              </w:rPr>
              <w:t>是否接受进口产品</w:t>
            </w:r>
          </w:p>
        </w:tc>
        <w:tc>
          <w:tcPr>
            <w:tcW w:w="6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eastAsia="仿宋" w:cs="仿宋"/>
                <w:b/>
                <w:bCs/>
                <w:sz w:val="24"/>
              </w:rPr>
            </w:pPr>
            <w:r>
              <w:rPr>
                <w:rFonts w:hint="eastAsia" w:eastAsia="仿宋" w:cs="仿宋"/>
                <w:b/>
                <w:bCs/>
                <w:kern w:val="0"/>
                <w:sz w:val="24"/>
                <w:lang w:bidi="ar"/>
              </w:rPr>
              <w:t>项目名称</w:t>
            </w:r>
          </w:p>
        </w:tc>
        <w:tc>
          <w:tcPr>
            <w:tcW w:w="2186" w:type="pc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napToGrid w:val="0"/>
              <w:jc w:val="center"/>
              <w:textAlignment w:val="center"/>
              <w:rPr>
                <w:rFonts w:eastAsia="仿宋" w:cs="仿宋"/>
                <w:b/>
                <w:bCs/>
                <w:kern w:val="0"/>
                <w:sz w:val="24"/>
                <w:lang w:bidi="ar"/>
              </w:rPr>
            </w:pPr>
            <w:r>
              <w:rPr>
                <w:rFonts w:hint="eastAsia" w:eastAsia="仿宋" w:cs="仿宋"/>
                <w:b/>
                <w:bCs/>
                <w:kern w:val="0"/>
                <w:sz w:val="24"/>
                <w:lang w:bidi="ar"/>
              </w:rPr>
              <w:t>项目概况</w:t>
            </w:r>
          </w:p>
        </w:tc>
        <w:tc>
          <w:tcPr>
            <w:tcW w:w="364" w:type="pct"/>
            <w:tcBorders>
              <w:top w:val="single" w:color="000000" w:sz="4" w:space="0"/>
              <w:left w:val="single" w:color="auto" w:sz="4" w:space="0"/>
              <w:bottom w:val="single" w:color="000000" w:sz="4" w:space="0"/>
              <w:right w:val="single" w:color="000000" w:sz="4" w:space="0"/>
            </w:tcBorders>
            <w:vAlign w:val="center"/>
          </w:tcPr>
          <w:p>
            <w:pPr>
              <w:snapToGrid w:val="0"/>
              <w:jc w:val="center"/>
              <w:textAlignment w:val="center"/>
              <w:rPr>
                <w:rFonts w:eastAsia="仿宋" w:cs="仿宋"/>
                <w:b/>
                <w:bCs/>
                <w:kern w:val="0"/>
                <w:sz w:val="24"/>
                <w:lang w:bidi="ar"/>
              </w:rPr>
            </w:pPr>
            <w:r>
              <w:rPr>
                <w:rFonts w:hint="eastAsia" w:eastAsia="仿宋" w:cs="仿宋"/>
                <w:b/>
                <w:bCs/>
                <w:kern w:val="0"/>
                <w:sz w:val="24"/>
                <w:lang w:bidi="ar"/>
              </w:rPr>
              <w:t>采购数量</w:t>
            </w:r>
          </w:p>
        </w:tc>
        <w:tc>
          <w:tcPr>
            <w:tcW w:w="3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eastAsia="仿宋" w:cs="仿宋"/>
                <w:b/>
                <w:bCs/>
                <w:kern w:val="0"/>
                <w:sz w:val="24"/>
                <w:lang w:bidi="ar"/>
              </w:rPr>
            </w:pPr>
            <w:r>
              <w:rPr>
                <w:rFonts w:hint="eastAsia" w:eastAsia="仿宋" w:cs="仿宋"/>
                <w:b/>
                <w:bCs/>
                <w:kern w:val="0"/>
                <w:sz w:val="24"/>
                <w:lang w:bidi="ar"/>
              </w:rPr>
              <w:t>计量单位</w:t>
            </w:r>
          </w:p>
        </w:tc>
        <w:tc>
          <w:tcPr>
            <w:tcW w:w="63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eastAsia="仿宋" w:cs="仿宋"/>
                <w:b/>
                <w:bCs/>
                <w:kern w:val="0"/>
                <w:sz w:val="24"/>
                <w:lang w:bidi="ar"/>
              </w:rPr>
            </w:pPr>
            <w:r>
              <w:rPr>
                <w:rFonts w:hint="eastAsia" w:eastAsia="仿宋" w:cs="仿宋"/>
                <w:b/>
                <w:bCs/>
                <w:kern w:val="0"/>
                <w:sz w:val="24"/>
                <w:lang w:bidi="ar"/>
              </w:rPr>
              <w:t>最高限价（元）</w:t>
            </w:r>
          </w:p>
        </w:tc>
      </w:tr>
      <w:tr>
        <w:tblPrEx>
          <w:tblCellMar>
            <w:top w:w="0" w:type="dxa"/>
            <w:left w:w="0" w:type="dxa"/>
            <w:bottom w:w="0" w:type="dxa"/>
            <w:right w:w="0" w:type="dxa"/>
          </w:tblCellMar>
        </w:tblPrEx>
        <w:trPr>
          <w:trHeight w:val="587" w:hRule="atLeast"/>
        </w:trPr>
        <w:tc>
          <w:tcPr>
            <w:tcW w:w="2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 w:hAnsi="仿宋" w:eastAsia="仿宋" w:cs="仿宋"/>
                <w:sz w:val="24"/>
              </w:rPr>
            </w:pPr>
            <w:r>
              <w:rPr>
                <w:rFonts w:hint="eastAsia" w:ascii="仿宋" w:hAnsi="仿宋" w:eastAsia="仿宋" w:cs="仿宋"/>
                <w:kern w:val="0"/>
                <w:sz w:val="24"/>
                <w:lang w:bidi="ar"/>
              </w:rPr>
              <w:t>1</w:t>
            </w:r>
          </w:p>
        </w:tc>
        <w:tc>
          <w:tcPr>
            <w:tcW w:w="5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 w:hAnsi="仿宋" w:eastAsia="仿宋" w:cs="仿宋"/>
                <w:sz w:val="24"/>
              </w:rPr>
            </w:pPr>
            <w:r>
              <w:rPr>
                <w:rFonts w:hint="eastAsia" w:ascii="仿宋" w:hAnsi="仿宋" w:eastAsia="仿宋" w:cs="仿宋"/>
                <w:kern w:val="0"/>
                <w:sz w:val="24"/>
                <w:lang w:bidi="ar"/>
              </w:rPr>
              <w:t>否</w:t>
            </w:r>
          </w:p>
        </w:tc>
        <w:tc>
          <w:tcPr>
            <w:tcW w:w="6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富源县中医医院智慧医院信息化建设项目</w:t>
            </w:r>
          </w:p>
        </w:tc>
        <w:tc>
          <w:tcPr>
            <w:tcW w:w="2186" w:type="pc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snapToGrid w:val="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以患者和临床为中心，以提高患者就医体验和安全为目标，以提高医疗效率和质量为目标，以电子病历为核心，以医嘱为驱动，以全诊疗过程闭环管理为手段，借助互联网、移动通信、物联网、大数据、人工智能AI等信息技术，实现医院内各信息管理系统的智能、开放、互联、协同、闭环。将医院建设成为一个“患者安心、员工舒心、管理放心”的现代化医院智慧服务，实现医院业务全面数字化、诊疗服务智能化、医院智慧管理精细化和医疗协同区域化的智慧医疗管理。通过本项目建设，可以达到如下建设目标：（一）以支撑二甲等级医院评审、电子病历评级达到4级标准、智慧服务2级。（二）符合未来县乡村一体化的医共体建设对医院信息化要求，接入基层医疗机构数据，实现多机构的综合统计分析系统，辅助管理决策分析。</w:t>
            </w:r>
          </w:p>
        </w:tc>
        <w:tc>
          <w:tcPr>
            <w:tcW w:w="364" w:type="pct"/>
            <w:tcBorders>
              <w:top w:val="single" w:color="000000" w:sz="4" w:space="0"/>
              <w:left w:val="single" w:color="auto" w:sz="4" w:space="0"/>
              <w:bottom w:val="single" w:color="000000" w:sz="4" w:space="0"/>
              <w:right w:val="single" w:color="000000" w:sz="4" w:space="0"/>
            </w:tcBorders>
            <w:vAlign w:val="center"/>
          </w:tcPr>
          <w:p>
            <w:pPr>
              <w:snapToGrid w:val="0"/>
              <w:jc w:val="center"/>
              <w:textAlignment w:val="center"/>
              <w:rPr>
                <w:rFonts w:ascii="仿宋" w:hAnsi="仿宋" w:eastAsia="仿宋" w:cs="仿宋"/>
                <w:kern w:val="0"/>
                <w:sz w:val="24"/>
                <w:lang w:bidi="ar"/>
              </w:rPr>
            </w:pPr>
            <w:r>
              <w:rPr>
                <w:rFonts w:ascii="仿宋" w:hAnsi="仿宋" w:eastAsia="仿宋" w:cs="仿宋"/>
                <w:kern w:val="0"/>
                <w:sz w:val="24"/>
                <w:lang w:bidi="ar"/>
              </w:rPr>
              <w:t>1</w:t>
            </w:r>
          </w:p>
        </w:tc>
        <w:tc>
          <w:tcPr>
            <w:tcW w:w="3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套</w:t>
            </w:r>
          </w:p>
        </w:tc>
        <w:tc>
          <w:tcPr>
            <w:tcW w:w="63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jc w:val="center"/>
              <w:textAlignment w:val="center"/>
              <w:rPr>
                <w:rFonts w:ascii="仿宋" w:hAnsi="仿宋" w:eastAsia="仿宋" w:cs="仿宋"/>
                <w:kern w:val="0"/>
                <w:sz w:val="24"/>
                <w:lang w:bidi="ar"/>
              </w:rPr>
            </w:pPr>
            <w:r>
              <w:rPr>
                <w:rFonts w:ascii="仿宋" w:hAnsi="仿宋" w:eastAsia="仿宋" w:cs="仿宋"/>
                <w:kern w:val="0"/>
                <w:sz w:val="24"/>
                <w:lang w:bidi="ar"/>
              </w:rPr>
              <w:t>4500000.00</w:t>
            </w:r>
          </w:p>
        </w:tc>
      </w:tr>
    </w:tbl>
    <w:p>
      <w:pPr>
        <w:snapToGrid w:val="0"/>
        <w:ind w:firstLine="480" w:firstLineChars="200"/>
        <w:textAlignment w:val="baseline"/>
        <w:rPr>
          <w:rFonts w:ascii="仿宋" w:hAnsi="仿宋" w:eastAsia="仿宋"/>
          <w:sz w:val="24"/>
          <w:u w:val="single"/>
        </w:rPr>
      </w:pPr>
      <w:r>
        <w:rPr>
          <w:rFonts w:hint="eastAsia" w:ascii="仿宋" w:hAnsi="仿宋" w:eastAsia="仿宋"/>
          <w:sz w:val="24"/>
          <w:u w:val="single" w:color="000000"/>
        </w:rPr>
        <w:t>注：（1）本项目共分1个标段，投标人需对所投标段内所有项目内容进行整体投标，不得缺项漏项，否则按未实质性响应招标文件处理。（2）本项目不接受进口产品。</w:t>
      </w:r>
    </w:p>
    <w:p>
      <w:pPr>
        <w:snapToGrid w:val="0"/>
        <w:ind w:firstLine="480" w:firstLineChars="200"/>
        <w:textAlignment w:val="baseline"/>
        <w:rPr>
          <w:rFonts w:ascii="仿宋" w:hAnsi="仿宋" w:eastAsia="仿宋"/>
          <w:color w:val="FF0000"/>
          <w:sz w:val="24"/>
          <w:highlight w:val="yellow"/>
        </w:rPr>
      </w:pPr>
      <w:r>
        <w:rPr>
          <w:rFonts w:hint="eastAsia" w:ascii="仿宋" w:hAnsi="仿宋" w:eastAsia="仿宋"/>
          <w:sz w:val="24"/>
        </w:rPr>
        <w:t>合同履行期限：</w:t>
      </w:r>
      <w:bookmarkStart w:id="7" w:name="_Hlk108782173"/>
      <w:r>
        <w:rPr>
          <w:rFonts w:hint="eastAsia" w:ascii="仿宋" w:hAnsi="仿宋" w:eastAsia="仿宋"/>
          <w:sz w:val="24"/>
        </w:rPr>
        <w:t>合同签订后</w:t>
      </w:r>
      <w:r>
        <w:rPr>
          <w:rFonts w:ascii="仿宋" w:hAnsi="仿宋" w:eastAsia="仿宋"/>
          <w:sz w:val="24"/>
        </w:rPr>
        <w:t>90</w:t>
      </w:r>
      <w:r>
        <w:rPr>
          <w:rFonts w:hint="eastAsia" w:ascii="仿宋" w:hAnsi="仿宋" w:eastAsia="仿宋"/>
          <w:sz w:val="24"/>
        </w:rPr>
        <w:t>日历日内将完整配套的设备设施或应用软件按合同规范要求完成编程、安装测试；</w:t>
      </w:r>
      <w:bookmarkEnd w:id="7"/>
    </w:p>
    <w:p>
      <w:pPr>
        <w:snapToGrid w:val="0"/>
        <w:spacing w:line="360" w:lineRule="exact"/>
        <w:ind w:firstLine="480" w:firstLineChars="200"/>
        <w:textAlignment w:val="baseline"/>
        <w:rPr>
          <w:rFonts w:ascii="仿宋" w:hAnsi="仿宋" w:eastAsia="仿宋"/>
          <w:sz w:val="24"/>
        </w:rPr>
      </w:pPr>
      <w:r>
        <w:rPr>
          <w:rFonts w:hint="eastAsia" w:ascii="仿宋" w:hAnsi="仿宋" w:eastAsia="仿宋"/>
          <w:sz w:val="24"/>
        </w:rPr>
        <w:t>本项目不接受联合体投标。</w:t>
      </w:r>
    </w:p>
    <w:p>
      <w:pPr>
        <w:pStyle w:val="3"/>
        <w:numPr>
          <w:ilvl w:val="1"/>
          <w:numId w:val="0"/>
        </w:numPr>
        <w:tabs>
          <w:tab w:val="left" w:pos="596"/>
        </w:tabs>
        <w:snapToGrid w:val="0"/>
        <w:ind w:left="596" w:hanging="596"/>
        <w:jc w:val="left"/>
        <w:rPr>
          <w:rFonts w:ascii="黑体" w:hAnsi="黑体"/>
          <w:b w:val="0"/>
          <w:bCs/>
          <w:sz w:val="24"/>
          <w:szCs w:val="24"/>
        </w:rPr>
      </w:pPr>
      <w:bookmarkStart w:id="8" w:name="_Toc28359080"/>
      <w:bookmarkStart w:id="9" w:name="_Toc109825808"/>
      <w:bookmarkStart w:id="10" w:name="_Toc35393622"/>
      <w:bookmarkStart w:id="11" w:name="_Toc28359003"/>
      <w:bookmarkStart w:id="12" w:name="_Toc35393791"/>
      <w:r>
        <w:rPr>
          <w:rFonts w:hint="eastAsia" w:ascii="黑体" w:hAnsi="黑体"/>
          <w:b w:val="0"/>
          <w:bCs/>
          <w:sz w:val="24"/>
          <w:szCs w:val="24"/>
        </w:rPr>
        <w:t>二、申请人的资格要求</w:t>
      </w:r>
      <w:bookmarkEnd w:id="8"/>
      <w:bookmarkEnd w:id="9"/>
      <w:bookmarkEnd w:id="10"/>
      <w:bookmarkEnd w:id="11"/>
      <w:bookmarkEnd w:id="12"/>
    </w:p>
    <w:p>
      <w:pPr>
        <w:snapToGrid w:val="0"/>
        <w:spacing w:line="360" w:lineRule="exact"/>
        <w:ind w:firstLine="480" w:firstLineChars="200"/>
        <w:textAlignment w:val="baseline"/>
        <w:rPr>
          <w:rFonts w:ascii="仿宋" w:hAnsi="仿宋" w:eastAsia="仿宋"/>
          <w:sz w:val="24"/>
        </w:rPr>
      </w:pPr>
      <w:r>
        <w:rPr>
          <w:rFonts w:hint="eastAsia" w:ascii="仿宋" w:hAnsi="仿宋" w:eastAsia="仿宋"/>
          <w:sz w:val="24"/>
        </w:rPr>
        <w:t>1.满足《中华人民共和国政府采购法》第二十二条规定；</w:t>
      </w:r>
    </w:p>
    <w:p>
      <w:pPr>
        <w:snapToGrid w:val="0"/>
        <w:spacing w:line="360" w:lineRule="exact"/>
        <w:ind w:firstLine="480" w:firstLineChars="200"/>
        <w:textAlignment w:val="baseline"/>
        <w:rPr>
          <w:rFonts w:ascii="仿宋" w:hAnsi="仿宋" w:eastAsia="仿宋"/>
          <w:sz w:val="24"/>
        </w:rPr>
      </w:pPr>
      <w:bookmarkStart w:id="13" w:name="_Toc28359081"/>
      <w:bookmarkStart w:id="14" w:name="_Toc28359004"/>
      <w:r>
        <w:rPr>
          <w:rFonts w:ascii="仿宋" w:hAnsi="仿宋" w:eastAsia="仿宋"/>
          <w:sz w:val="24"/>
        </w:rPr>
        <w:t>2</w:t>
      </w:r>
      <w:r>
        <w:rPr>
          <w:rFonts w:hint="eastAsia" w:ascii="仿宋" w:hAnsi="仿宋" w:eastAsia="仿宋"/>
          <w:sz w:val="24"/>
        </w:rPr>
        <w:t>.落实政府采购政策需满足的资格要求：扶持中小企业政策：投标人按规定提供小型、微型企业的产品（提供由小微企业制造的货物、承担的工程或者服务），其报价给予部分比例扣除，用扣除后的价格参加评审。监狱企业、残疾人福利性单位视同小型和微型企业，其产品在评审时给予相同的价格扣除。执行政策文件：“关于印发《政府采购促进中小企业发展管理办法》的通知（财库〔2020〕46号）”、“《财政部关于进一步加大政府采购支持中小企业力度的通知》（财库〔2022〕19号）”、“《财政部司法部关于政府采购支持监狱企业发展有关问题的通知》（财库〔2014〕68号）”、“《财政部民政部中国残疾人联合会关于促进残疾人就业政府采购政策的通知》（财库〔2017〕141号）”；</w:t>
      </w:r>
    </w:p>
    <w:p>
      <w:pPr>
        <w:snapToGrid w:val="0"/>
        <w:spacing w:line="360" w:lineRule="exact"/>
        <w:ind w:firstLine="480" w:firstLineChars="200"/>
        <w:textAlignment w:val="baseline"/>
        <w:rPr>
          <w:rFonts w:ascii="仿宋" w:hAnsi="仿宋" w:eastAsia="仿宋"/>
          <w:sz w:val="24"/>
        </w:rPr>
      </w:pPr>
      <w:r>
        <w:rPr>
          <w:rFonts w:hint="eastAsia" w:ascii="仿宋" w:hAnsi="仿宋" w:eastAsia="仿宋"/>
          <w:sz w:val="24"/>
        </w:rPr>
        <w:t>3.本项目的特定资格要求：</w:t>
      </w:r>
    </w:p>
    <w:p>
      <w:pPr>
        <w:snapToGrid w:val="0"/>
        <w:spacing w:line="360" w:lineRule="exact"/>
        <w:ind w:firstLine="480" w:firstLineChars="200"/>
        <w:textAlignment w:val="baseline"/>
        <w:rPr>
          <w:rFonts w:ascii="仿宋" w:hAnsi="仿宋" w:eastAsia="仿宋"/>
          <w:sz w:val="24"/>
        </w:rPr>
      </w:pPr>
      <w:r>
        <w:rPr>
          <w:rFonts w:hint="eastAsia" w:ascii="仿宋" w:hAnsi="仿宋" w:eastAsia="仿宋"/>
          <w:sz w:val="24"/>
        </w:rPr>
        <w:t>3.1投标人未被列入“信用中国”网站（www.creditchina.gov.cn）失信被执行人、重大税收违法失信主体、政府采购严重违法失信行为记录名单及“中国政府采购网”（www.ccgp.gov.cn）政府采购严重违法失信行为信息记录（由采购人或代理机构查询，如有列入则取消其投标资格）。</w:t>
      </w:r>
    </w:p>
    <w:p>
      <w:pPr>
        <w:snapToGrid w:val="0"/>
        <w:spacing w:line="360" w:lineRule="exact"/>
        <w:ind w:firstLine="480" w:firstLineChars="200"/>
        <w:textAlignment w:val="baseline"/>
        <w:rPr>
          <w:rFonts w:ascii="仿宋" w:hAnsi="仿宋" w:eastAsia="仿宋"/>
          <w:sz w:val="24"/>
        </w:rPr>
      </w:pPr>
      <w:r>
        <w:rPr>
          <w:rFonts w:hint="eastAsia" w:ascii="仿宋" w:hAnsi="仿宋" w:eastAsia="仿宋"/>
          <w:sz w:val="24"/>
        </w:rPr>
        <w:t>3.2单位负责人为同一人或者存在直接控股、管理关系的不同供应商，不得参加同一合同项下的政府采购活动。</w:t>
      </w:r>
    </w:p>
    <w:p>
      <w:pPr>
        <w:snapToGrid w:val="0"/>
        <w:spacing w:line="360" w:lineRule="exact"/>
        <w:ind w:firstLine="480" w:firstLineChars="200"/>
        <w:textAlignment w:val="baseline"/>
        <w:rPr>
          <w:rFonts w:ascii="仿宋" w:hAnsi="仿宋" w:eastAsia="仿宋"/>
          <w:sz w:val="24"/>
        </w:rPr>
      </w:pPr>
      <w:r>
        <w:rPr>
          <w:rFonts w:hint="eastAsia" w:ascii="仿宋" w:hAnsi="仿宋" w:eastAsia="仿宋"/>
          <w:sz w:val="24"/>
        </w:rPr>
        <w:t>3</w:t>
      </w:r>
      <w:r>
        <w:rPr>
          <w:rFonts w:ascii="仿宋" w:hAnsi="仿宋" w:eastAsia="仿宋"/>
          <w:sz w:val="24"/>
        </w:rPr>
        <w:t>.3</w:t>
      </w:r>
      <w:r>
        <w:rPr>
          <w:rFonts w:hint="eastAsia" w:ascii="仿宋" w:hAnsi="仿宋" w:eastAsia="仿宋"/>
          <w:sz w:val="24"/>
        </w:rPr>
        <w:t>投标人需满足政府采购所有相关法律法规的规定，如相关法律法规中明确规定不能参与政府采购活动的，均不得参与本次政府采购活动。</w:t>
      </w:r>
    </w:p>
    <w:p>
      <w:pPr>
        <w:pStyle w:val="3"/>
        <w:numPr>
          <w:ilvl w:val="1"/>
          <w:numId w:val="0"/>
        </w:numPr>
        <w:tabs>
          <w:tab w:val="left" w:pos="596"/>
        </w:tabs>
        <w:snapToGrid w:val="0"/>
        <w:ind w:left="596" w:hanging="596"/>
        <w:jc w:val="left"/>
        <w:rPr>
          <w:rFonts w:ascii="黑体" w:hAnsi="黑体"/>
          <w:b w:val="0"/>
          <w:bCs/>
          <w:sz w:val="24"/>
          <w:szCs w:val="24"/>
        </w:rPr>
      </w:pPr>
      <w:bookmarkStart w:id="15" w:name="_Toc109825809"/>
      <w:bookmarkStart w:id="16" w:name="_Toc19541"/>
      <w:bookmarkStart w:id="17" w:name="_Toc35393792"/>
      <w:bookmarkStart w:id="18" w:name="_Toc35393623"/>
      <w:r>
        <w:rPr>
          <w:rFonts w:hint="eastAsia" w:ascii="黑体" w:hAnsi="黑体"/>
          <w:b w:val="0"/>
          <w:bCs/>
          <w:sz w:val="24"/>
          <w:szCs w:val="24"/>
        </w:rPr>
        <w:t>三、获取招标文件</w:t>
      </w:r>
      <w:bookmarkEnd w:id="13"/>
      <w:bookmarkEnd w:id="14"/>
      <w:bookmarkEnd w:id="15"/>
      <w:bookmarkEnd w:id="16"/>
      <w:bookmarkEnd w:id="17"/>
      <w:bookmarkEnd w:id="18"/>
    </w:p>
    <w:p>
      <w:pPr>
        <w:snapToGrid w:val="0"/>
        <w:spacing w:line="380" w:lineRule="exact"/>
        <w:ind w:firstLine="539"/>
        <w:textAlignment w:val="baseline"/>
        <w:rPr>
          <w:rFonts w:ascii="仿宋" w:hAnsi="仿宋" w:eastAsia="仿宋" w:cs="宋体"/>
          <w:sz w:val="24"/>
        </w:rPr>
      </w:pPr>
      <w:r>
        <w:rPr>
          <w:rFonts w:hint="eastAsia" w:ascii="仿宋" w:hAnsi="仿宋" w:eastAsia="仿宋" w:cs="宋体"/>
          <w:sz w:val="24"/>
        </w:rPr>
        <w:t>时间：</w:t>
      </w:r>
      <w:r>
        <w:rPr>
          <w:rFonts w:hint="eastAsia" w:ascii="仿宋" w:hAnsi="仿宋" w:eastAsia="仿宋" w:cs="宋体"/>
          <w:sz w:val="24"/>
          <w:u w:val="single" w:color="000000"/>
        </w:rPr>
        <w:t>2022年</w:t>
      </w:r>
      <w:r>
        <w:rPr>
          <w:rFonts w:ascii="仿宋" w:hAnsi="仿宋" w:eastAsia="仿宋" w:cs="宋体"/>
          <w:sz w:val="24"/>
          <w:u w:val="single" w:color="000000"/>
        </w:rPr>
        <w:t>07</w:t>
      </w:r>
      <w:r>
        <w:rPr>
          <w:rFonts w:hint="eastAsia" w:ascii="仿宋" w:hAnsi="仿宋" w:eastAsia="仿宋" w:cs="宋体"/>
          <w:sz w:val="24"/>
          <w:u w:val="single" w:color="000000"/>
        </w:rPr>
        <w:t>月2</w:t>
      </w:r>
      <w:r>
        <w:rPr>
          <w:rFonts w:ascii="仿宋" w:hAnsi="仿宋" w:eastAsia="仿宋" w:cs="宋体"/>
          <w:sz w:val="24"/>
          <w:u w:val="single" w:color="000000"/>
        </w:rPr>
        <w:t>9</w:t>
      </w:r>
      <w:r>
        <w:rPr>
          <w:rFonts w:hint="eastAsia" w:ascii="仿宋" w:hAnsi="仿宋" w:eastAsia="仿宋" w:cs="宋体"/>
          <w:sz w:val="24"/>
          <w:u w:val="single" w:color="000000"/>
        </w:rPr>
        <w:t>日</w:t>
      </w:r>
      <w:r>
        <w:rPr>
          <w:rFonts w:hint="eastAsia" w:ascii="仿宋" w:hAnsi="仿宋" w:eastAsia="仿宋" w:cs="宋体"/>
          <w:sz w:val="24"/>
        </w:rPr>
        <w:t>至</w:t>
      </w:r>
      <w:r>
        <w:rPr>
          <w:rFonts w:hint="eastAsia" w:ascii="仿宋" w:hAnsi="仿宋" w:eastAsia="仿宋" w:cs="宋体"/>
          <w:sz w:val="24"/>
          <w:u w:val="single" w:color="000000"/>
        </w:rPr>
        <w:t>2022年</w:t>
      </w:r>
      <w:r>
        <w:rPr>
          <w:rFonts w:ascii="仿宋" w:hAnsi="仿宋" w:eastAsia="仿宋" w:cs="宋体"/>
          <w:sz w:val="24"/>
          <w:u w:val="single" w:color="000000"/>
        </w:rPr>
        <w:t>08</w:t>
      </w:r>
      <w:r>
        <w:rPr>
          <w:rFonts w:hint="eastAsia" w:ascii="仿宋" w:hAnsi="仿宋" w:eastAsia="仿宋" w:cs="宋体"/>
          <w:sz w:val="24"/>
          <w:u w:val="single" w:color="000000"/>
        </w:rPr>
        <w:t>月0</w:t>
      </w:r>
      <w:r>
        <w:rPr>
          <w:rFonts w:ascii="仿宋" w:hAnsi="仿宋" w:eastAsia="仿宋" w:cs="宋体"/>
          <w:sz w:val="24"/>
          <w:u w:val="single" w:color="000000"/>
        </w:rPr>
        <w:t>4</w:t>
      </w:r>
      <w:r>
        <w:rPr>
          <w:rFonts w:hint="eastAsia" w:ascii="仿宋" w:hAnsi="仿宋" w:eastAsia="仿宋" w:cs="宋体"/>
          <w:sz w:val="24"/>
          <w:u w:val="single" w:color="000000"/>
        </w:rPr>
        <w:t>日</w:t>
      </w:r>
      <w:r>
        <w:rPr>
          <w:rFonts w:hint="eastAsia" w:ascii="仿宋" w:hAnsi="仿宋" w:eastAsia="仿宋" w:cs="宋体"/>
          <w:sz w:val="24"/>
        </w:rPr>
        <w:t>，每天上午</w:t>
      </w:r>
      <w:r>
        <w:rPr>
          <w:rFonts w:hint="eastAsia" w:ascii="仿宋" w:hAnsi="仿宋" w:eastAsia="仿宋" w:cs="宋体"/>
          <w:sz w:val="24"/>
          <w:u w:val="single" w:color="000000"/>
        </w:rPr>
        <w:t>08：30时</w:t>
      </w:r>
      <w:r>
        <w:rPr>
          <w:rFonts w:hint="eastAsia" w:ascii="仿宋" w:hAnsi="仿宋" w:eastAsia="仿宋" w:cs="宋体"/>
          <w:sz w:val="24"/>
        </w:rPr>
        <w:t>至</w:t>
      </w:r>
      <w:r>
        <w:rPr>
          <w:rFonts w:hint="eastAsia" w:ascii="仿宋" w:hAnsi="仿宋" w:eastAsia="仿宋" w:cs="宋体"/>
          <w:sz w:val="24"/>
          <w:u w:val="single" w:color="000000"/>
        </w:rPr>
        <w:t>11：30时</w:t>
      </w:r>
      <w:r>
        <w:rPr>
          <w:rFonts w:hint="eastAsia" w:ascii="仿宋" w:hAnsi="仿宋" w:eastAsia="仿宋" w:cs="宋体"/>
          <w:sz w:val="24"/>
        </w:rPr>
        <w:t>，下午</w:t>
      </w:r>
      <w:r>
        <w:rPr>
          <w:rFonts w:hint="eastAsia" w:ascii="仿宋" w:hAnsi="仿宋" w:eastAsia="仿宋" w:cs="宋体"/>
          <w:sz w:val="24"/>
          <w:u w:val="single" w:color="000000"/>
        </w:rPr>
        <w:t>14：30时</w:t>
      </w:r>
      <w:r>
        <w:rPr>
          <w:rFonts w:hint="eastAsia" w:ascii="仿宋" w:hAnsi="仿宋" w:eastAsia="仿宋" w:cs="宋体"/>
          <w:sz w:val="24"/>
        </w:rPr>
        <w:t>至</w:t>
      </w:r>
      <w:r>
        <w:rPr>
          <w:rFonts w:hint="eastAsia" w:ascii="仿宋" w:hAnsi="仿宋" w:eastAsia="仿宋" w:cs="宋体"/>
          <w:sz w:val="24"/>
          <w:u w:val="single" w:color="000000"/>
        </w:rPr>
        <w:t>17：30时</w:t>
      </w:r>
      <w:r>
        <w:rPr>
          <w:rFonts w:hint="eastAsia" w:ascii="仿宋" w:hAnsi="仿宋" w:eastAsia="仿宋" w:cs="宋体"/>
          <w:sz w:val="24"/>
        </w:rPr>
        <w:t>（北京时间，</w:t>
      </w:r>
      <w:r>
        <w:rPr>
          <w:rFonts w:ascii="仿宋" w:hAnsi="仿宋" w:eastAsia="仿宋" w:cs="宋体"/>
          <w:sz w:val="24"/>
        </w:rPr>
        <w:t>法定节假日</w:t>
      </w:r>
      <w:r>
        <w:rPr>
          <w:rFonts w:hint="eastAsia" w:ascii="仿宋" w:hAnsi="仿宋" w:eastAsia="仿宋" w:cs="宋体"/>
          <w:sz w:val="24"/>
        </w:rPr>
        <w:t>除外）。</w:t>
      </w:r>
    </w:p>
    <w:p>
      <w:pPr>
        <w:snapToGrid w:val="0"/>
        <w:spacing w:line="380" w:lineRule="exact"/>
        <w:ind w:firstLine="539"/>
        <w:textAlignment w:val="baseline"/>
        <w:rPr>
          <w:rFonts w:ascii="仿宋" w:hAnsi="仿宋" w:eastAsia="仿宋" w:cs="宋体"/>
          <w:sz w:val="24"/>
          <w:u w:val="single"/>
        </w:rPr>
      </w:pPr>
      <w:r>
        <w:rPr>
          <w:rFonts w:hint="eastAsia" w:ascii="仿宋" w:hAnsi="仿宋" w:eastAsia="仿宋" w:cs="宋体"/>
          <w:sz w:val="24"/>
        </w:rPr>
        <w:t>地点：</w:t>
      </w:r>
      <w:bookmarkStart w:id="19" w:name="_Hlk108774724"/>
      <w:r>
        <w:rPr>
          <w:rFonts w:hint="eastAsia" w:eastAsia="仿宋"/>
          <w:sz w:val="24"/>
          <w:u w:val="single" w:color="000000"/>
        </w:rPr>
        <w:t>全国公共资源交易平台（云南省）/云南省公共资源交易信息网（网址：http://ggzy.yn.gov.cn/），选择地区“曲靖市”，切换至曲靖市公共资源交易电子服务系统/全国公共资源交易平台（云南省·曲靖市）</w:t>
      </w:r>
      <w:bookmarkEnd w:id="19"/>
      <w:r>
        <w:rPr>
          <w:rFonts w:hint="eastAsia" w:ascii="仿宋" w:hAnsi="仿宋" w:eastAsia="仿宋" w:cs="宋体"/>
          <w:sz w:val="24"/>
        </w:rPr>
        <w:t>。</w:t>
      </w:r>
    </w:p>
    <w:p>
      <w:pPr>
        <w:snapToGrid w:val="0"/>
        <w:spacing w:line="380" w:lineRule="exact"/>
        <w:ind w:firstLine="539"/>
        <w:textAlignment w:val="baseline"/>
        <w:rPr>
          <w:rFonts w:ascii="仿宋" w:hAnsi="仿宋" w:eastAsia="仿宋" w:cs="宋体"/>
          <w:sz w:val="24"/>
          <w:u w:val="single"/>
        </w:rPr>
      </w:pPr>
      <w:r>
        <w:rPr>
          <w:rFonts w:hint="eastAsia" w:ascii="仿宋" w:hAnsi="仿宋" w:eastAsia="仿宋" w:cs="宋体"/>
          <w:sz w:val="24"/>
        </w:rPr>
        <w:t>方式：</w:t>
      </w:r>
      <w:r>
        <w:rPr>
          <w:rFonts w:hint="eastAsia" w:ascii="仿宋" w:hAnsi="仿宋" w:eastAsia="仿宋" w:cs="宋体"/>
          <w:sz w:val="24"/>
          <w:u w:val="single" w:color="000000"/>
        </w:rPr>
        <w:t>网上获取</w:t>
      </w:r>
      <w:r>
        <w:rPr>
          <w:rFonts w:hint="eastAsia" w:ascii="仿宋" w:hAnsi="仿宋" w:eastAsia="仿宋" w:cs="宋体"/>
          <w:sz w:val="24"/>
        </w:rPr>
        <w:t>。</w:t>
      </w:r>
    </w:p>
    <w:p>
      <w:pPr>
        <w:snapToGrid w:val="0"/>
        <w:spacing w:line="380" w:lineRule="exact"/>
        <w:ind w:firstLine="539"/>
        <w:textAlignment w:val="baseline"/>
        <w:rPr>
          <w:rFonts w:ascii="仿宋" w:hAnsi="仿宋" w:eastAsia="仿宋" w:cs="宋体"/>
          <w:sz w:val="24"/>
        </w:rPr>
      </w:pPr>
      <w:r>
        <w:rPr>
          <w:rFonts w:hint="eastAsia" w:ascii="仿宋" w:hAnsi="仿宋" w:eastAsia="仿宋" w:cs="宋体"/>
          <w:sz w:val="24"/>
        </w:rPr>
        <w:t>售价：</w:t>
      </w:r>
      <w:r>
        <w:rPr>
          <w:rFonts w:ascii="仿宋" w:hAnsi="仿宋" w:eastAsia="仿宋" w:cs="宋体"/>
          <w:sz w:val="24"/>
          <w:u w:val="single" w:color="000000"/>
        </w:rPr>
        <w:t>0.00</w:t>
      </w:r>
      <w:r>
        <w:rPr>
          <w:rFonts w:hint="eastAsia" w:ascii="仿宋" w:hAnsi="仿宋" w:eastAsia="仿宋" w:cs="宋体"/>
          <w:sz w:val="24"/>
          <w:u w:val="single" w:color="000000"/>
        </w:rPr>
        <w:t>元</w:t>
      </w:r>
      <w:r>
        <w:rPr>
          <w:rFonts w:hint="eastAsia" w:ascii="仿宋" w:hAnsi="仿宋" w:eastAsia="仿宋" w:cs="宋体"/>
          <w:sz w:val="24"/>
        </w:rPr>
        <w:t>。</w:t>
      </w:r>
    </w:p>
    <w:p>
      <w:pPr>
        <w:pStyle w:val="3"/>
        <w:numPr>
          <w:ilvl w:val="1"/>
          <w:numId w:val="0"/>
        </w:numPr>
        <w:tabs>
          <w:tab w:val="left" w:pos="596"/>
        </w:tabs>
        <w:snapToGrid w:val="0"/>
        <w:ind w:left="596" w:hanging="596"/>
        <w:jc w:val="left"/>
        <w:rPr>
          <w:rFonts w:ascii="黑体" w:hAnsi="黑体"/>
          <w:b w:val="0"/>
          <w:bCs/>
          <w:sz w:val="24"/>
          <w:szCs w:val="24"/>
        </w:rPr>
      </w:pPr>
      <w:bookmarkStart w:id="20" w:name="_Toc28359005"/>
      <w:bookmarkStart w:id="21" w:name="_Toc28359082"/>
      <w:bookmarkStart w:id="22" w:name="_Toc35393624"/>
      <w:bookmarkStart w:id="23" w:name="_Toc35393793"/>
      <w:bookmarkStart w:id="24" w:name="_Toc109825810"/>
      <w:r>
        <w:rPr>
          <w:rFonts w:hint="eastAsia" w:ascii="黑体" w:hAnsi="黑体"/>
          <w:b w:val="0"/>
          <w:bCs/>
          <w:sz w:val="24"/>
          <w:szCs w:val="24"/>
        </w:rPr>
        <w:t>四、提交投标文件</w:t>
      </w:r>
      <w:bookmarkEnd w:id="20"/>
      <w:bookmarkEnd w:id="21"/>
      <w:r>
        <w:rPr>
          <w:rFonts w:hint="eastAsia" w:ascii="黑体" w:hAnsi="黑体"/>
          <w:b w:val="0"/>
          <w:bCs/>
          <w:sz w:val="24"/>
          <w:szCs w:val="24"/>
        </w:rPr>
        <w:t>截止时间、开标时间和地点</w:t>
      </w:r>
      <w:bookmarkEnd w:id="22"/>
      <w:bookmarkEnd w:id="23"/>
      <w:bookmarkEnd w:id="24"/>
    </w:p>
    <w:p>
      <w:pPr>
        <w:snapToGrid w:val="0"/>
        <w:spacing w:line="380" w:lineRule="exact"/>
        <w:ind w:firstLine="480" w:firstLineChars="200"/>
        <w:textAlignment w:val="baseline"/>
        <w:rPr>
          <w:rFonts w:ascii="仿宋" w:hAnsi="仿宋" w:eastAsia="仿宋"/>
          <w:bCs/>
          <w:sz w:val="24"/>
          <w:u w:val="single"/>
        </w:rPr>
      </w:pPr>
      <w:r>
        <w:rPr>
          <w:rFonts w:hint="eastAsia" w:ascii="仿宋" w:hAnsi="仿宋" w:eastAsia="仿宋"/>
          <w:bCs/>
          <w:sz w:val="24"/>
        </w:rPr>
        <w:t>提交投标文件截止时间（开标时间）：</w:t>
      </w:r>
      <w:r>
        <w:rPr>
          <w:rFonts w:hint="eastAsia" w:ascii="仿宋" w:hAnsi="仿宋" w:eastAsia="仿宋"/>
          <w:bCs/>
          <w:sz w:val="24"/>
          <w:u w:val="single" w:color="000000"/>
        </w:rPr>
        <w:t>2022年</w:t>
      </w:r>
      <w:r>
        <w:rPr>
          <w:rFonts w:ascii="仿宋" w:hAnsi="仿宋" w:eastAsia="仿宋"/>
          <w:bCs/>
          <w:sz w:val="24"/>
          <w:u w:val="single" w:color="000000"/>
        </w:rPr>
        <w:t>08</w:t>
      </w:r>
      <w:r>
        <w:rPr>
          <w:rFonts w:hint="eastAsia" w:ascii="仿宋" w:hAnsi="仿宋" w:eastAsia="仿宋"/>
          <w:bCs/>
          <w:sz w:val="24"/>
          <w:u w:val="single" w:color="000000"/>
        </w:rPr>
        <w:t>月</w:t>
      </w:r>
      <w:r>
        <w:rPr>
          <w:rFonts w:ascii="仿宋" w:hAnsi="仿宋" w:eastAsia="仿宋"/>
          <w:bCs/>
          <w:sz w:val="24"/>
          <w:u w:val="single" w:color="000000"/>
        </w:rPr>
        <w:t>18</w:t>
      </w:r>
      <w:r>
        <w:rPr>
          <w:rFonts w:hint="eastAsia" w:ascii="仿宋" w:hAnsi="仿宋" w:eastAsia="仿宋"/>
          <w:bCs/>
          <w:sz w:val="24"/>
          <w:u w:val="single" w:color="000000"/>
        </w:rPr>
        <w:t>日</w:t>
      </w:r>
      <w:r>
        <w:rPr>
          <w:rFonts w:ascii="仿宋" w:hAnsi="仿宋" w:eastAsia="仿宋"/>
          <w:bCs/>
          <w:sz w:val="24"/>
          <w:u w:val="single" w:color="000000"/>
        </w:rPr>
        <w:t>15</w:t>
      </w:r>
      <w:r>
        <w:rPr>
          <w:rFonts w:hint="eastAsia" w:ascii="仿宋" w:hAnsi="仿宋" w:eastAsia="仿宋"/>
          <w:bCs/>
          <w:sz w:val="24"/>
          <w:u w:val="single" w:color="000000"/>
        </w:rPr>
        <w:t>点</w:t>
      </w:r>
      <w:r>
        <w:rPr>
          <w:rFonts w:ascii="仿宋" w:hAnsi="仿宋" w:eastAsia="仿宋"/>
          <w:bCs/>
          <w:sz w:val="24"/>
          <w:u w:val="single" w:color="000000"/>
        </w:rPr>
        <w:t>00</w:t>
      </w:r>
      <w:r>
        <w:rPr>
          <w:rFonts w:hint="eastAsia" w:ascii="仿宋" w:hAnsi="仿宋" w:eastAsia="仿宋"/>
          <w:bCs/>
          <w:sz w:val="24"/>
          <w:u w:val="single" w:color="000000"/>
        </w:rPr>
        <w:t>分（北京时间）</w:t>
      </w:r>
      <w:r>
        <w:rPr>
          <w:rFonts w:hint="eastAsia" w:ascii="仿宋" w:hAnsi="仿宋" w:eastAsia="仿宋"/>
          <w:bCs/>
          <w:sz w:val="24"/>
        </w:rPr>
        <w:t>。</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提交投标文件地点（开标地点）：</w:t>
      </w:r>
      <w:r>
        <w:rPr>
          <w:rFonts w:hint="eastAsia" w:ascii="仿宋" w:hAnsi="仿宋" w:eastAsia="仿宋"/>
          <w:sz w:val="24"/>
          <w:u w:val="single" w:color="000000"/>
        </w:rPr>
        <w:t>曲靖市公共资源交易中心开标五厅（寥廓南路延长线官房大酒店西侧）</w:t>
      </w:r>
      <w:r>
        <w:rPr>
          <w:rFonts w:hint="eastAsia" w:ascii="仿宋" w:hAnsi="仿宋" w:eastAsia="仿宋"/>
          <w:sz w:val="24"/>
        </w:rPr>
        <w:t>。</w:t>
      </w:r>
    </w:p>
    <w:p>
      <w:pPr>
        <w:pStyle w:val="3"/>
        <w:numPr>
          <w:ilvl w:val="1"/>
          <w:numId w:val="0"/>
        </w:numPr>
        <w:tabs>
          <w:tab w:val="left" w:pos="596"/>
        </w:tabs>
        <w:snapToGrid w:val="0"/>
        <w:ind w:left="596" w:hanging="596"/>
        <w:jc w:val="left"/>
        <w:rPr>
          <w:rFonts w:ascii="黑体" w:hAnsi="黑体"/>
          <w:b w:val="0"/>
          <w:bCs/>
          <w:sz w:val="24"/>
          <w:szCs w:val="24"/>
        </w:rPr>
      </w:pPr>
      <w:bookmarkStart w:id="25" w:name="_Toc35393794"/>
      <w:bookmarkStart w:id="26" w:name="_Toc35393625"/>
      <w:bookmarkStart w:id="27" w:name="_Toc28359084"/>
      <w:bookmarkStart w:id="28" w:name="_Toc11453"/>
      <w:bookmarkStart w:id="29" w:name="_Toc109825811"/>
      <w:bookmarkStart w:id="30" w:name="_Toc28359007"/>
      <w:r>
        <w:rPr>
          <w:rFonts w:hint="eastAsia" w:ascii="黑体" w:hAnsi="黑体"/>
          <w:b w:val="0"/>
          <w:bCs/>
          <w:sz w:val="24"/>
          <w:szCs w:val="24"/>
        </w:rPr>
        <w:t>五、公告期限</w:t>
      </w:r>
      <w:bookmarkEnd w:id="25"/>
      <w:bookmarkEnd w:id="26"/>
      <w:bookmarkEnd w:id="27"/>
      <w:bookmarkEnd w:id="28"/>
      <w:bookmarkEnd w:id="29"/>
      <w:bookmarkEnd w:id="30"/>
    </w:p>
    <w:p>
      <w:pPr>
        <w:snapToGrid w:val="0"/>
        <w:spacing w:line="380" w:lineRule="exact"/>
        <w:ind w:firstLine="480" w:firstLineChars="200"/>
        <w:textAlignment w:val="baseline"/>
        <w:rPr>
          <w:rFonts w:ascii="仿宋" w:hAnsi="仿宋" w:eastAsia="仿宋" w:cs="宋体"/>
          <w:kern w:val="0"/>
          <w:sz w:val="24"/>
        </w:rPr>
      </w:pPr>
      <w:r>
        <w:rPr>
          <w:rFonts w:hint="eastAsia" w:ascii="仿宋" w:hAnsi="仿宋" w:eastAsia="仿宋" w:cs="宋体"/>
          <w:kern w:val="0"/>
          <w:sz w:val="24"/>
        </w:rPr>
        <w:t>自本公告发布之日起5个工作日。</w:t>
      </w:r>
      <w:bookmarkStart w:id="50" w:name="_GoBack"/>
      <w:bookmarkEnd w:id="50"/>
    </w:p>
    <w:p>
      <w:pPr>
        <w:pStyle w:val="3"/>
        <w:numPr>
          <w:ilvl w:val="1"/>
          <w:numId w:val="0"/>
        </w:numPr>
        <w:tabs>
          <w:tab w:val="left" w:pos="596"/>
        </w:tabs>
        <w:snapToGrid w:val="0"/>
        <w:ind w:left="596" w:hanging="596"/>
        <w:jc w:val="left"/>
        <w:rPr>
          <w:rFonts w:ascii="黑体" w:hAnsi="黑体"/>
          <w:b w:val="0"/>
          <w:bCs/>
          <w:sz w:val="24"/>
          <w:szCs w:val="24"/>
        </w:rPr>
      </w:pPr>
      <w:bookmarkStart w:id="31" w:name="_Toc109825812"/>
      <w:bookmarkStart w:id="32" w:name="_Toc35393795"/>
      <w:bookmarkStart w:id="33" w:name="_Toc4114"/>
      <w:bookmarkStart w:id="34" w:name="_Toc35393626"/>
      <w:r>
        <w:rPr>
          <w:rFonts w:hint="eastAsia" w:ascii="黑体" w:hAnsi="黑体"/>
          <w:b w:val="0"/>
          <w:bCs/>
          <w:sz w:val="24"/>
          <w:szCs w:val="24"/>
        </w:rPr>
        <w:t>六、其他补充事宜</w:t>
      </w:r>
      <w:bookmarkEnd w:id="31"/>
      <w:bookmarkEnd w:id="32"/>
      <w:bookmarkEnd w:id="33"/>
      <w:bookmarkEnd w:id="34"/>
    </w:p>
    <w:p>
      <w:pPr>
        <w:snapToGrid w:val="0"/>
        <w:spacing w:line="380" w:lineRule="exact"/>
        <w:ind w:firstLine="480" w:firstLineChars="200"/>
        <w:textAlignment w:val="baseline"/>
        <w:rPr>
          <w:rFonts w:eastAsia="仿宋" w:cs="仿宋"/>
          <w:sz w:val="24"/>
        </w:rPr>
      </w:pPr>
      <w:bookmarkStart w:id="35" w:name="_Toc24566"/>
      <w:bookmarkStart w:id="36" w:name="_Toc4618"/>
      <w:bookmarkStart w:id="37" w:name="_Toc28359008"/>
      <w:bookmarkStart w:id="38" w:name="_Toc35393627"/>
      <w:bookmarkStart w:id="39" w:name="_Toc35393796"/>
      <w:bookmarkStart w:id="40" w:name="_Toc28359085"/>
      <w:r>
        <w:rPr>
          <w:rFonts w:hint="eastAsia" w:eastAsia="仿宋" w:cs="仿宋"/>
          <w:sz w:val="24"/>
        </w:rPr>
        <w:t>开标方式：智能开标</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是否需要缴纳投标保证金：是</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（I53A00822001110）富源县中医医院智慧医院信息化建设项目:</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保证金金额：60000.00（元）</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保证金缴纳方式：支票、汇票、本票、保函、银行转账、电汇</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保证金缴纳截止时间：2022-08-18 15:00</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投标保证金须于投标截止时间前到达投标保证金专用账户，以银行转账或保函或保证保险等非现金形式提交。采用转账的方式缴纳保证金的，投标保证金缴纳账户如下：</w:t>
      </w:r>
    </w:p>
    <w:tbl>
      <w:tblPr>
        <w:tblStyle w:val="6"/>
        <w:tblW w:w="4878" w:type="pct"/>
        <w:jc w:val="center"/>
        <w:tblLayout w:type="autofit"/>
        <w:tblCellMar>
          <w:top w:w="0" w:type="dxa"/>
          <w:left w:w="108" w:type="dxa"/>
          <w:bottom w:w="0" w:type="dxa"/>
          <w:right w:w="108" w:type="dxa"/>
        </w:tblCellMar>
      </w:tblPr>
      <w:tblGrid>
        <w:gridCol w:w="9615"/>
      </w:tblGrid>
      <w:tr>
        <w:tblPrEx>
          <w:tblCellMar>
            <w:top w:w="0" w:type="dxa"/>
            <w:left w:w="108" w:type="dxa"/>
            <w:bottom w:w="0" w:type="dxa"/>
            <w:right w:w="108" w:type="dxa"/>
          </w:tblCellMar>
        </w:tblPrEx>
        <w:trPr>
          <w:trHeight w:val="360" w:hRule="atLeast"/>
          <w:jc w:val="center"/>
        </w:trPr>
        <w:tc>
          <w:tcPr>
            <w:tcW w:w="5000" w:type="pct"/>
            <w:tcBorders>
              <w:top w:val="single" w:color="000000" w:sz="4" w:space="0"/>
              <w:left w:val="single" w:color="000000" w:sz="4" w:space="0"/>
              <w:bottom w:val="single" w:color="000000" w:sz="4" w:space="0"/>
              <w:right w:val="single" w:color="000000" w:sz="4" w:space="0"/>
            </w:tcBorders>
            <w:vAlign w:val="center"/>
          </w:tcPr>
          <w:p>
            <w:pPr>
              <w:snapToGrid w:val="0"/>
              <w:ind w:firstLine="480" w:firstLineChars="200"/>
              <w:textAlignment w:val="baseline"/>
              <w:rPr>
                <w:rFonts w:eastAsia="仿宋"/>
                <w:bCs/>
                <w:sz w:val="24"/>
              </w:rPr>
            </w:pPr>
            <w:r>
              <w:rPr>
                <w:rFonts w:hint="eastAsia" w:eastAsia="仿宋"/>
                <w:bCs/>
                <w:sz w:val="24"/>
              </w:rPr>
              <w:t>投标保证金缴纳专用账户</w:t>
            </w:r>
          </w:p>
        </w:tc>
      </w:tr>
      <w:tr>
        <w:tblPrEx>
          <w:tblCellMar>
            <w:top w:w="0" w:type="dxa"/>
            <w:left w:w="108" w:type="dxa"/>
            <w:bottom w:w="0" w:type="dxa"/>
            <w:right w:w="108" w:type="dxa"/>
          </w:tblCellMar>
        </w:tblPrEx>
        <w:trPr>
          <w:trHeight w:val="360" w:hRule="atLeast"/>
          <w:jc w:val="center"/>
        </w:trPr>
        <w:tc>
          <w:tcPr>
            <w:tcW w:w="5000" w:type="pct"/>
            <w:tcBorders>
              <w:top w:val="single" w:color="000000" w:sz="4" w:space="0"/>
              <w:left w:val="single" w:color="000000" w:sz="4" w:space="0"/>
              <w:bottom w:val="single" w:color="000000" w:sz="4" w:space="0"/>
              <w:right w:val="single" w:color="000000" w:sz="4" w:space="0"/>
            </w:tcBorders>
            <w:vAlign w:val="center"/>
          </w:tcPr>
          <w:p>
            <w:pPr>
              <w:snapToGrid w:val="0"/>
              <w:ind w:firstLine="480" w:firstLineChars="200"/>
              <w:textAlignment w:val="baseline"/>
              <w:rPr>
                <w:rFonts w:eastAsia="仿宋"/>
                <w:bCs/>
                <w:sz w:val="24"/>
              </w:rPr>
            </w:pPr>
            <w:r>
              <w:rPr>
                <w:rFonts w:hint="eastAsia" w:eastAsia="仿宋"/>
                <w:bCs/>
                <w:sz w:val="24"/>
              </w:rPr>
              <w:t>开户名称：曲靖市公共资源交易中心</w:t>
            </w:r>
          </w:p>
        </w:tc>
      </w:tr>
      <w:tr>
        <w:tblPrEx>
          <w:tblCellMar>
            <w:top w:w="0" w:type="dxa"/>
            <w:left w:w="108" w:type="dxa"/>
            <w:bottom w:w="0" w:type="dxa"/>
            <w:right w:w="108" w:type="dxa"/>
          </w:tblCellMar>
        </w:tblPrEx>
        <w:trPr>
          <w:trHeight w:val="360" w:hRule="atLeast"/>
          <w:jc w:val="center"/>
        </w:trPr>
        <w:tc>
          <w:tcPr>
            <w:tcW w:w="5000" w:type="pct"/>
            <w:tcBorders>
              <w:top w:val="single" w:color="000000" w:sz="4" w:space="0"/>
              <w:left w:val="single" w:color="000000" w:sz="4" w:space="0"/>
              <w:bottom w:val="single" w:color="000000" w:sz="4" w:space="0"/>
              <w:right w:val="single" w:color="000000" w:sz="4" w:space="0"/>
            </w:tcBorders>
            <w:vAlign w:val="center"/>
          </w:tcPr>
          <w:p>
            <w:pPr>
              <w:snapToGrid w:val="0"/>
              <w:ind w:firstLine="480" w:firstLineChars="200"/>
              <w:textAlignment w:val="baseline"/>
              <w:rPr>
                <w:rFonts w:eastAsia="仿宋"/>
                <w:bCs/>
                <w:sz w:val="24"/>
              </w:rPr>
            </w:pPr>
            <w:r>
              <w:rPr>
                <w:rFonts w:hint="eastAsia" w:eastAsia="仿宋"/>
                <w:bCs/>
                <w:sz w:val="24"/>
              </w:rPr>
              <w:t>开户银行：招商银行曲靖翠峰支行</w:t>
            </w:r>
          </w:p>
        </w:tc>
      </w:tr>
      <w:tr>
        <w:tblPrEx>
          <w:tblCellMar>
            <w:top w:w="0" w:type="dxa"/>
            <w:left w:w="108" w:type="dxa"/>
            <w:bottom w:w="0" w:type="dxa"/>
            <w:right w:w="108" w:type="dxa"/>
          </w:tblCellMar>
        </w:tblPrEx>
        <w:trPr>
          <w:trHeight w:val="360" w:hRule="atLeast"/>
          <w:jc w:val="center"/>
        </w:trPr>
        <w:tc>
          <w:tcPr>
            <w:tcW w:w="5000" w:type="pct"/>
            <w:tcBorders>
              <w:top w:val="single" w:color="000000" w:sz="4" w:space="0"/>
              <w:left w:val="single" w:color="000000" w:sz="4" w:space="0"/>
              <w:bottom w:val="single" w:color="000000" w:sz="4" w:space="0"/>
              <w:right w:val="single" w:color="000000" w:sz="4" w:space="0"/>
            </w:tcBorders>
            <w:vAlign w:val="center"/>
          </w:tcPr>
          <w:p>
            <w:pPr>
              <w:snapToGrid w:val="0"/>
              <w:ind w:firstLine="480" w:firstLineChars="200"/>
              <w:textAlignment w:val="baseline"/>
              <w:rPr>
                <w:rFonts w:eastAsia="仿宋"/>
                <w:bCs/>
                <w:sz w:val="24"/>
              </w:rPr>
            </w:pPr>
            <w:r>
              <w:rPr>
                <w:rFonts w:hint="eastAsia" w:eastAsia="仿宋"/>
                <w:bCs/>
                <w:sz w:val="24"/>
              </w:rPr>
              <w:t>账</w:t>
            </w:r>
            <w:r>
              <w:rPr>
                <w:rFonts w:eastAsia="仿宋"/>
                <w:bCs/>
                <w:sz w:val="24"/>
              </w:rPr>
              <w:t xml:space="preserve">    </w:t>
            </w:r>
            <w:r>
              <w:rPr>
                <w:rFonts w:hint="eastAsia" w:eastAsia="仿宋"/>
                <w:bCs/>
                <w:sz w:val="24"/>
              </w:rPr>
              <w:t>号：</w:t>
            </w:r>
            <w:r>
              <w:rPr>
                <w:rFonts w:eastAsia="仿宋"/>
                <w:bCs/>
                <w:sz w:val="24"/>
              </w:rPr>
              <w:t>8749001034106660000005438</w:t>
            </w:r>
          </w:p>
        </w:tc>
      </w:tr>
      <w:tr>
        <w:tblPrEx>
          <w:tblCellMar>
            <w:top w:w="0" w:type="dxa"/>
            <w:left w:w="108" w:type="dxa"/>
            <w:bottom w:w="0" w:type="dxa"/>
            <w:right w:w="108" w:type="dxa"/>
          </w:tblCellMar>
        </w:tblPrEx>
        <w:trPr>
          <w:trHeight w:val="1425" w:hRule="atLeast"/>
          <w:jc w:val="center"/>
        </w:trPr>
        <w:tc>
          <w:tcPr>
            <w:tcW w:w="5000" w:type="pct"/>
            <w:tcBorders>
              <w:top w:val="single" w:color="000000" w:sz="4" w:space="0"/>
              <w:left w:val="single" w:color="000000" w:sz="4" w:space="0"/>
              <w:bottom w:val="single" w:color="000000" w:sz="4" w:space="0"/>
              <w:right w:val="single" w:color="000000" w:sz="4" w:space="0"/>
            </w:tcBorders>
            <w:vAlign w:val="center"/>
          </w:tcPr>
          <w:p>
            <w:pPr>
              <w:snapToGrid w:val="0"/>
              <w:ind w:firstLine="480" w:firstLineChars="200"/>
              <w:textAlignment w:val="baseline"/>
              <w:rPr>
                <w:rFonts w:eastAsia="仿宋"/>
                <w:bCs/>
                <w:sz w:val="24"/>
              </w:rPr>
            </w:pPr>
            <w:r>
              <w:rPr>
                <w:rFonts w:hint="eastAsia" w:eastAsia="仿宋"/>
                <w:bCs/>
                <w:sz w:val="24"/>
              </w:rPr>
              <w:t>注：参与本项目的投标人采用转账的方式提交保证金的须从单位基本户转出，并注明项目名称及标段名称（或采购编号及标段号），请投标人在转账完成后，使用数字证书（机构</w:t>
            </w:r>
            <w:r>
              <w:rPr>
                <w:rFonts w:eastAsia="仿宋"/>
                <w:bCs/>
                <w:sz w:val="24"/>
              </w:rPr>
              <w:t>CA</w:t>
            </w:r>
            <w:r>
              <w:rPr>
                <w:rFonts w:hint="eastAsia" w:eastAsia="仿宋"/>
                <w:bCs/>
                <w:sz w:val="24"/>
              </w:rPr>
              <w:t>证书）登录投标系统，在系统主界面的“确认投标保证金”中对投标保证金进行确认绑定，最后打印保证金缴纳回执。</w:t>
            </w:r>
          </w:p>
        </w:tc>
      </w:tr>
    </w:tbl>
    <w:p>
      <w:pPr>
        <w:snapToGrid w:val="0"/>
        <w:spacing w:before="165" w:line="360" w:lineRule="auto"/>
        <w:ind w:left="-2" w:leftChars="-1" w:firstLine="480" w:firstLineChars="200"/>
        <w:textAlignment w:val="baseline"/>
        <w:rPr>
          <w:rFonts w:eastAsia="仿宋" w:cs="仿宋"/>
          <w:sz w:val="24"/>
        </w:rPr>
      </w:pPr>
      <w:r>
        <w:rPr>
          <w:rFonts w:hint="eastAsia" w:eastAsia="仿宋" w:cs="仿宋"/>
          <w:sz w:val="24"/>
        </w:rPr>
        <w:t>发布公告的媒介</w:t>
      </w:r>
      <w:bookmarkEnd w:id="35"/>
      <w:bookmarkEnd w:id="36"/>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本次招标公告在“云南省政府采购网（www.yngp.com）”、“全国公共资源交易平台（云南省）/云南省公共资源交易信息网（网址：http://ggzy.yn.gov.cn/），选择地区“曲靖市”，切换至曲靖市公共资源交易电子服务系统/全国公共资源交易平台（云南省·曲靖市）”上发布。</w:t>
      </w:r>
    </w:p>
    <w:p>
      <w:pPr>
        <w:snapToGrid w:val="0"/>
        <w:spacing w:before="165" w:line="360" w:lineRule="auto"/>
        <w:ind w:left="-2" w:leftChars="-1" w:firstLine="480" w:firstLineChars="200"/>
        <w:textAlignment w:val="baseline"/>
        <w:rPr>
          <w:rFonts w:eastAsia="仿宋" w:cs="仿宋"/>
          <w:sz w:val="24"/>
        </w:rPr>
      </w:pPr>
      <w:bookmarkStart w:id="41" w:name="_Toc24498"/>
      <w:bookmarkStart w:id="42" w:name="_Toc19126"/>
      <w:r>
        <w:rPr>
          <w:rFonts w:hint="eastAsia" w:eastAsia="仿宋" w:cs="仿宋"/>
          <w:sz w:val="24"/>
        </w:rPr>
        <w:t>本项目需要落实的政府采购政策</w:t>
      </w:r>
      <w:bookmarkEnd w:id="41"/>
      <w:bookmarkEnd w:id="42"/>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1）扶持中小企业政策：投标人按规定提供小型、微型企业的产品（提供由小微企业制造的货物、承担的工程或者服务），其报价给予部分比例扣除，用扣除后的价格参加评审。监狱企业、残疾人福利性单位视同小型和微型企业，其产品在评审时给予相同的价格扣除。执行政策文件：“关于印发《政府采购促进中小企业发展管理办法》的通知（财库〔2020〕46号）”、“《财政部关于进一步加大政府采购支持中小企业力度的通知》（财库〔2022〕19号）”、“《财政部司法部关于政府采购支持监狱企业发展有关问题的通知》（财库〔2014〕68号）”、“《财政部民政部中国残疾人联合会关于促进残疾人就业政府采购政策的通知》（财库〔2017〕141号）”。</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（2）节能、环保产品采购政策：《财政部 发展改革委 生态环境部 市场监管总局 关于调整优化节能产品、环境标志产品政府采购执行机制的通知》（财库〔2019〕9号）。</w:t>
      </w:r>
    </w:p>
    <w:p>
      <w:pPr>
        <w:snapToGrid w:val="0"/>
        <w:spacing w:before="165" w:line="360" w:lineRule="auto"/>
        <w:ind w:left="-2" w:leftChars="-1" w:firstLine="480" w:firstLineChars="200"/>
        <w:textAlignment w:val="baseline"/>
        <w:rPr>
          <w:rFonts w:eastAsia="仿宋" w:cs="仿宋"/>
          <w:sz w:val="24"/>
        </w:rPr>
      </w:pPr>
      <w:r>
        <w:rPr>
          <w:rFonts w:hint="eastAsia" w:eastAsia="仿宋" w:cs="仿宋"/>
          <w:sz w:val="24"/>
        </w:rPr>
        <w:t>开标事宜</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1）疫情防控期间，投标人应以网上智能开标为主要方式参与开标活动，非必要不到现场参加开标。投标人在投标文件递交的截止时间前，需在网上递交投标文件【网上递交需进入全国公共资源交易平台（云南省）/云南省公共资源交易信息网（网址：http://ggzy.yn.gov.cn/），选择地区“曲靖市”，切换至曲靖市公共资源交易电子服务系统/全国公共资源交易平台（云南省·曲靖市）并登录公共资源交易系统进行递交。投标人须在文件递交截止时间前完成所有电子投标文件的上传，网上确认电子签名，并打印“上传投标文件回执”，文件递交截止时间前未完成投标文件传输的，视为撤回投标文件。】。如投标人需要到现场参与开标活动的，须遵守《曲靖市公共资源交易中心关于新冠肺炎疫情防控期间交易业务办理的公告》的规定：</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1、明确“进入重点场所自觉扫码，发现红、黄码和行程码带*号情况的，配合验码场所就地临时隔离管控，及时向居住地社区（村委会）或防疫部门报告。”</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2、行程码带*号情况的，本人如实报告行程轨迹，提供48小时内核酸检测阴性证明，承诺没有高中风险地区旅居史或者是高中风险地区人员密切接触史以及没有发热、咳嗽、咽痛、嗅（味）觉减退、腹泻等不适症状，进行体温检测、实名登记个人信息，方可进入场内。</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3、曲靖市麒麟区以外来曲人员应提供48小时内核酸检测阴性证明，两码绿码方可。</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4、进入公共资源交易中心的所有人员应进行体温检测、扫码管理、个人信息登记，并全程佩戴口罩。</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5、进入公共资源交易中心人员应保持1米以上的间隔距离办理业务。参加开标评标活动按分散座位就座。交易结束后，不聚集、不攀谈、不逗留，尽快离开。</w:t>
      </w:r>
    </w:p>
    <w:p>
      <w:pPr>
        <w:snapToGrid w:val="0"/>
        <w:spacing w:before="156" w:beforeLines="50" w:line="360" w:lineRule="auto"/>
        <w:ind w:firstLine="480" w:firstLineChars="200"/>
        <w:textAlignment w:val="baseline"/>
        <w:rPr>
          <w:rFonts w:ascii="仿宋" w:hAnsi="仿宋" w:eastAsia="仿宋"/>
          <w:sz w:val="24"/>
        </w:rPr>
      </w:pPr>
      <w:r>
        <w:rPr>
          <w:rFonts w:hint="eastAsia" w:ascii="仿宋" w:hAnsi="仿宋" w:eastAsia="仿宋"/>
          <w:sz w:val="24"/>
        </w:rPr>
        <w:t>（2）网上智能开标及远程解密：</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①投标人登录</w:t>
      </w:r>
      <w:bookmarkStart w:id="43" w:name="_Hlk108781633"/>
      <w:r>
        <w:rPr>
          <w:rFonts w:hint="eastAsia" w:ascii="仿宋" w:hAnsi="仿宋" w:eastAsia="仿宋"/>
          <w:sz w:val="24"/>
        </w:rPr>
        <w:t>全国公共资源交易平台（云南省）/云南省公共资源交易信息网（网址：http://ggzy.yn.gov.cn/），选择地区“曲靖市”，切换至曲靖市公共资源交易电子服务系统/全国公共资源交易平台（云南省·曲靖市）</w:t>
      </w:r>
      <w:bookmarkEnd w:id="43"/>
      <w:r>
        <w:rPr>
          <w:rFonts w:hint="eastAsia" w:ascii="仿宋" w:hAnsi="仿宋" w:eastAsia="仿宋"/>
          <w:sz w:val="24"/>
        </w:rPr>
        <w:t>，登录公共资源交易系统并按照系统要求完成远程解密、查看开标一览表等相关操作。本项目解密时间不少于</w:t>
      </w:r>
      <w:r>
        <w:rPr>
          <w:rFonts w:ascii="仿宋" w:hAnsi="仿宋" w:eastAsia="仿宋"/>
          <w:sz w:val="24"/>
        </w:rPr>
        <w:t>30</w:t>
      </w:r>
      <w:r>
        <w:rPr>
          <w:rFonts w:hint="eastAsia" w:ascii="仿宋" w:hAnsi="仿宋" w:eastAsia="仿宋"/>
          <w:sz w:val="24"/>
        </w:rPr>
        <w:t>分钟，若投标人未在规定时间完成所有投标文件解密，则视为无效投标，不再进入评标阶段。</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②因开标系统、开标现场网络、设备及其他特殊原因，导致不能正常解密投标文件的，经核实和上报相关部门同意后，可再次下达网上解密指令来延长解密时间。</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③开标过程中如有问题，可以在线提出异议，由代理机构给予回复。在规定的异议询问时间内未提出异议的，则视为对开标结果无异议。</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④各投标人应提前熟悉云南省公共资源交易电子化平台的智能开标及解密操作等流程，可自行在平台“服务指南”模块中下载《云南省公共资源交易电子化平台智能开标系统培训教材（适用投标人和供应商）》进行学习。</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（3）现场开标：投标人须携带加密投标文件的数字证书（</w:t>
      </w:r>
      <w:r>
        <w:rPr>
          <w:rFonts w:ascii="仿宋" w:hAnsi="仿宋" w:eastAsia="仿宋"/>
          <w:sz w:val="24"/>
        </w:rPr>
        <w:t>CA</w:t>
      </w:r>
      <w:r>
        <w:rPr>
          <w:rFonts w:hint="eastAsia" w:ascii="仿宋" w:hAnsi="仿宋" w:eastAsia="仿宋"/>
          <w:sz w:val="24"/>
        </w:rPr>
        <w:t>）在投标截止时间前到达本项目开标地点，并配合现场工作人员完成解密、投标文件导入、开标一览表确认等相关操作。若投标人逾期到达开标地点或投标文件无法解密、导入，则视为撤销其投标文件，其不再进入评标阶段。开标过程中如有问题，可以现场提出异议，由代理机构给予对应的回复。</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（4）任何因忽视或误解而导致投标文件未上传或已上传但未按要求进行解密或未按规定的流程进行操作的，产生的一切后果由投标人自行负责。</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（5）技术操作咨询：北京筑龙信息技术有限责任公司，服务热线：</w:t>
      </w:r>
      <w:r>
        <w:rPr>
          <w:rFonts w:ascii="仿宋" w:hAnsi="仿宋" w:eastAsia="仿宋"/>
          <w:sz w:val="24"/>
        </w:rPr>
        <w:t>010-86483801</w:t>
      </w:r>
      <w:r>
        <w:rPr>
          <w:rFonts w:hint="eastAsia" w:ascii="仿宋" w:hAnsi="仿宋" w:eastAsia="仿宋"/>
          <w:sz w:val="24"/>
        </w:rPr>
        <w:t>，</w:t>
      </w:r>
      <w:r>
        <w:rPr>
          <w:rFonts w:ascii="仿宋" w:hAnsi="仿宋" w:eastAsia="仿宋"/>
          <w:sz w:val="24"/>
        </w:rPr>
        <w:t>QQ</w:t>
      </w:r>
      <w:r>
        <w:rPr>
          <w:rFonts w:hint="eastAsia" w:ascii="仿宋" w:hAnsi="仿宋" w:eastAsia="仿宋"/>
          <w:sz w:val="24"/>
        </w:rPr>
        <w:t>：</w:t>
      </w:r>
      <w:r>
        <w:rPr>
          <w:rFonts w:ascii="仿宋" w:hAnsi="仿宋" w:eastAsia="仿宋"/>
          <w:sz w:val="24"/>
        </w:rPr>
        <w:t>4009618998</w:t>
      </w:r>
      <w:r>
        <w:rPr>
          <w:rFonts w:hint="eastAsia" w:ascii="仿宋" w:hAnsi="仿宋" w:eastAsia="仿宋"/>
          <w:sz w:val="24"/>
        </w:rPr>
        <w:t>。</w:t>
      </w:r>
    </w:p>
    <w:p>
      <w:pPr>
        <w:snapToGrid w:val="0"/>
        <w:spacing w:before="165" w:line="360" w:lineRule="auto"/>
        <w:ind w:left="-2" w:leftChars="-1" w:firstLine="480" w:firstLineChars="200"/>
        <w:textAlignment w:val="baseline"/>
        <w:rPr>
          <w:rFonts w:eastAsia="仿宋" w:cs="仿宋"/>
          <w:sz w:val="24"/>
        </w:rPr>
      </w:pPr>
      <w:r>
        <w:rPr>
          <w:rFonts w:hint="eastAsia" w:eastAsia="仿宋" w:cs="仿宋"/>
          <w:sz w:val="24"/>
        </w:rPr>
        <w:t>其他</w:t>
      </w:r>
    </w:p>
    <w:p>
      <w:pPr>
        <w:snapToGrid w:val="0"/>
        <w:spacing w:line="380" w:lineRule="exact"/>
        <w:ind w:firstLine="480" w:firstLineChars="200"/>
        <w:textAlignment w:val="baseline"/>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）投标人凭企业数字证书（</w:t>
      </w:r>
      <w:r>
        <w:rPr>
          <w:rFonts w:ascii="仿宋" w:hAnsi="仿宋" w:eastAsia="仿宋"/>
          <w:sz w:val="24"/>
        </w:rPr>
        <w:t>CA</w:t>
      </w:r>
      <w:r>
        <w:rPr>
          <w:rFonts w:hint="eastAsia" w:ascii="仿宋" w:hAnsi="仿宋" w:eastAsia="仿宋"/>
          <w:sz w:val="24"/>
        </w:rPr>
        <w:t>）在网上获取电子招标文件（电子招标文件，格式为</w:t>
      </w:r>
      <w:r>
        <w:rPr>
          <w:rFonts w:ascii="仿宋" w:hAnsi="仿宋" w:eastAsia="仿宋"/>
          <w:sz w:val="24"/>
        </w:rPr>
        <w:t>*.ZCZBJ</w:t>
      </w:r>
      <w:r>
        <w:rPr>
          <w:rFonts w:hint="eastAsia" w:ascii="仿宋" w:hAnsi="仿宋" w:eastAsia="仿宋"/>
          <w:sz w:val="24"/>
        </w:rPr>
        <w:t>）及其他招标资料，未办理企业数字证书（</w:t>
      </w:r>
      <w:r>
        <w:rPr>
          <w:rFonts w:ascii="仿宋" w:hAnsi="仿宋" w:eastAsia="仿宋"/>
          <w:sz w:val="24"/>
        </w:rPr>
        <w:t>CA</w:t>
      </w:r>
      <w:r>
        <w:rPr>
          <w:rFonts w:hint="eastAsia" w:ascii="仿宋" w:hAnsi="仿宋" w:eastAsia="仿宋"/>
          <w:sz w:val="24"/>
        </w:rPr>
        <w:t>）的企业需要按照云南省公共资源交易电子认证的要求，办理企业数字证书（</w:t>
      </w:r>
      <w:r>
        <w:rPr>
          <w:rFonts w:ascii="仿宋" w:hAnsi="仿宋" w:eastAsia="仿宋"/>
          <w:sz w:val="24"/>
        </w:rPr>
        <w:t>CA</w:t>
      </w:r>
      <w:r>
        <w:rPr>
          <w:rFonts w:hint="eastAsia" w:ascii="仿宋" w:hAnsi="仿宋" w:eastAsia="仿宋"/>
          <w:sz w:val="24"/>
        </w:rPr>
        <w:t>），以便获取招标文件。数字证书（</w:t>
      </w:r>
      <w:r>
        <w:rPr>
          <w:rFonts w:ascii="仿宋" w:hAnsi="仿宋" w:eastAsia="仿宋"/>
          <w:sz w:val="24"/>
        </w:rPr>
        <w:t>CA</w:t>
      </w:r>
      <w:r>
        <w:rPr>
          <w:rFonts w:hint="eastAsia" w:ascii="仿宋" w:hAnsi="仿宋" w:eastAsia="仿宋"/>
          <w:sz w:val="24"/>
        </w:rPr>
        <w:t>）办理流程详见平台相关内容。</w:t>
      </w:r>
    </w:p>
    <w:p>
      <w:pPr>
        <w:pStyle w:val="3"/>
        <w:numPr>
          <w:ilvl w:val="1"/>
          <w:numId w:val="0"/>
        </w:numPr>
        <w:tabs>
          <w:tab w:val="left" w:pos="596"/>
        </w:tabs>
        <w:snapToGrid w:val="0"/>
        <w:ind w:left="596" w:hanging="596"/>
        <w:jc w:val="left"/>
        <w:rPr>
          <w:rFonts w:ascii="黑体" w:hAnsi="黑体"/>
          <w:b w:val="0"/>
          <w:bCs/>
          <w:sz w:val="24"/>
          <w:szCs w:val="24"/>
        </w:rPr>
      </w:pPr>
      <w:bookmarkStart w:id="44" w:name="_Toc109825813"/>
      <w:bookmarkStart w:id="45" w:name="_Toc10006"/>
      <w:r>
        <w:rPr>
          <w:rFonts w:hint="eastAsia" w:ascii="黑体" w:hAnsi="黑体"/>
          <w:b w:val="0"/>
          <w:bCs/>
          <w:sz w:val="24"/>
          <w:szCs w:val="24"/>
        </w:rPr>
        <w:t>七、对本次招标提出询问，请按</w:t>
      </w:r>
      <w:r>
        <w:rPr>
          <w:rFonts w:ascii="黑体" w:hAnsi="黑体"/>
          <w:b w:val="0"/>
          <w:bCs/>
          <w:sz w:val="24"/>
          <w:szCs w:val="24"/>
        </w:rPr>
        <w:t>以下方式</w:t>
      </w:r>
      <w:r>
        <w:rPr>
          <w:rFonts w:hint="eastAsia" w:ascii="黑体" w:hAnsi="黑体"/>
          <w:b w:val="0"/>
          <w:bCs/>
          <w:sz w:val="24"/>
          <w:szCs w:val="24"/>
        </w:rPr>
        <w:t>联系。</w:t>
      </w:r>
      <w:bookmarkEnd w:id="37"/>
      <w:bookmarkEnd w:id="38"/>
      <w:bookmarkEnd w:id="39"/>
      <w:bookmarkEnd w:id="40"/>
      <w:bookmarkEnd w:id="44"/>
      <w:bookmarkEnd w:id="45"/>
    </w:p>
    <w:p>
      <w:pPr>
        <w:snapToGrid w:val="0"/>
        <w:spacing w:before="165" w:line="360" w:lineRule="auto"/>
        <w:jc w:val="left"/>
        <w:textAlignment w:val="baseline"/>
        <w:rPr>
          <w:rFonts w:ascii="仿宋" w:hAnsi="仿宋" w:eastAsia="仿宋"/>
          <w:sz w:val="24"/>
        </w:rPr>
      </w:pPr>
      <w:r>
        <w:rPr>
          <w:rFonts w:hint="eastAsia" w:ascii="仿宋" w:hAnsi="仿宋" w:eastAsia="仿宋"/>
          <w:sz w:val="24"/>
        </w:rPr>
        <w:t>　　1.采购人信息</w:t>
      </w:r>
    </w:p>
    <w:p>
      <w:pPr>
        <w:snapToGrid w:val="0"/>
        <w:spacing w:line="440" w:lineRule="exact"/>
        <w:ind w:firstLine="480" w:firstLineChars="200"/>
        <w:textAlignment w:val="baseline"/>
        <w:rPr>
          <w:rFonts w:ascii="仿宋" w:hAnsi="仿宋" w:eastAsia="仿宋"/>
          <w:sz w:val="24"/>
        </w:rPr>
      </w:pPr>
      <w:r>
        <w:rPr>
          <w:rFonts w:hint="eastAsia" w:ascii="仿宋" w:hAnsi="仿宋" w:eastAsia="仿宋"/>
          <w:sz w:val="24"/>
        </w:rPr>
        <w:t>名　　称：富源县中医医院</w:t>
      </w:r>
    </w:p>
    <w:p>
      <w:pPr>
        <w:snapToGrid w:val="0"/>
        <w:spacing w:line="440" w:lineRule="exact"/>
        <w:ind w:firstLine="480" w:firstLineChars="200"/>
        <w:textAlignment w:val="baseline"/>
        <w:rPr>
          <w:rFonts w:ascii="仿宋" w:hAnsi="仿宋" w:eastAsia="仿宋"/>
          <w:sz w:val="24"/>
        </w:rPr>
      </w:pPr>
      <w:r>
        <w:rPr>
          <w:rFonts w:hint="eastAsia" w:ascii="仿宋" w:hAnsi="仿宋" w:eastAsia="仿宋"/>
          <w:sz w:val="24"/>
        </w:rPr>
        <w:t>地　　址：曲靖市富源县中安街道胜境大道428号</w:t>
      </w:r>
    </w:p>
    <w:p>
      <w:pPr>
        <w:snapToGrid w:val="0"/>
        <w:spacing w:line="440" w:lineRule="exact"/>
        <w:ind w:firstLine="480" w:firstLineChars="200"/>
        <w:textAlignment w:val="baseline"/>
        <w:rPr>
          <w:rFonts w:ascii="仿宋" w:hAnsi="仿宋" w:eastAsia="仿宋"/>
          <w:sz w:val="24"/>
        </w:rPr>
      </w:pPr>
      <w:r>
        <w:rPr>
          <w:rFonts w:hint="eastAsia" w:ascii="仿宋" w:hAnsi="仿宋" w:eastAsia="仿宋"/>
          <w:sz w:val="24"/>
        </w:rPr>
        <w:t>联系方式：陆老师 0874-</w:t>
      </w:r>
      <w:bookmarkStart w:id="46" w:name="_Toc28359086"/>
      <w:bookmarkStart w:id="47" w:name="_Toc28359009"/>
      <w:r>
        <w:rPr>
          <w:rFonts w:ascii="仿宋" w:hAnsi="仿宋" w:eastAsia="仿宋"/>
          <w:sz w:val="24"/>
        </w:rPr>
        <w:t>4617277</w:t>
      </w:r>
    </w:p>
    <w:p>
      <w:pPr>
        <w:snapToGrid w:val="0"/>
        <w:spacing w:before="165" w:line="360" w:lineRule="auto"/>
        <w:jc w:val="left"/>
        <w:textAlignment w:val="baseline"/>
        <w:rPr>
          <w:rFonts w:ascii="仿宋" w:hAnsi="仿宋" w:eastAsia="仿宋"/>
          <w:sz w:val="24"/>
        </w:rPr>
      </w:pPr>
      <w:r>
        <w:rPr>
          <w:rFonts w:hint="eastAsia" w:ascii="仿宋" w:hAnsi="仿宋" w:eastAsia="仿宋"/>
          <w:sz w:val="24"/>
        </w:rPr>
        <w:t>　　</w:t>
      </w:r>
      <w:r>
        <w:rPr>
          <w:rFonts w:hint="eastAsia" w:ascii="仿宋" w:hAnsi="仿宋" w:eastAsia="仿宋" w:cs="宋体"/>
          <w:sz w:val="24"/>
        </w:rPr>
        <w:t>2.采购代理机构信息</w:t>
      </w:r>
      <w:bookmarkEnd w:id="46"/>
      <w:bookmarkEnd w:id="47"/>
    </w:p>
    <w:p>
      <w:pPr>
        <w:snapToGrid w:val="0"/>
        <w:spacing w:line="440" w:lineRule="exact"/>
        <w:ind w:firstLine="480" w:firstLineChars="200"/>
        <w:textAlignment w:val="baseline"/>
        <w:rPr>
          <w:rFonts w:ascii="仿宋" w:hAnsi="仿宋" w:eastAsia="仿宋"/>
          <w:sz w:val="24"/>
        </w:rPr>
      </w:pPr>
      <w:r>
        <w:rPr>
          <w:rFonts w:hint="eastAsia" w:ascii="仿宋" w:hAnsi="仿宋" w:eastAsia="仿宋"/>
          <w:sz w:val="24"/>
        </w:rPr>
        <w:t>名　　称：云南招标股份有限公司</w:t>
      </w:r>
    </w:p>
    <w:p>
      <w:pPr>
        <w:snapToGrid w:val="0"/>
        <w:spacing w:line="440" w:lineRule="exact"/>
        <w:ind w:firstLine="480" w:firstLineChars="200"/>
        <w:textAlignment w:val="baseline"/>
        <w:rPr>
          <w:rFonts w:ascii="仿宋" w:hAnsi="仿宋" w:eastAsia="仿宋"/>
          <w:sz w:val="24"/>
        </w:rPr>
      </w:pPr>
      <w:r>
        <w:rPr>
          <w:rFonts w:hint="eastAsia" w:ascii="仿宋" w:hAnsi="仿宋" w:eastAsia="仿宋"/>
          <w:sz w:val="24"/>
        </w:rPr>
        <w:t>地　　址：云南省昆明市人民西路328号</w:t>
      </w:r>
    </w:p>
    <w:p>
      <w:pPr>
        <w:snapToGrid w:val="0"/>
        <w:spacing w:line="440" w:lineRule="exact"/>
        <w:ind w:firstLine="480" w:firstLineChars="200"/>
        <w:textAlignment w:val="baseline"/>
        <w:rPr>
          <w:rFonts w:ascii="仿宋" w:hAnsi="仿宋" w:eastAsia="仿宋"/>
          <w:sz w:val="24"/>
        </w:rPr>
      </w:pPr>
      <w:r>
        <w:rPr>
          <w:rFonts w:hint="eastAsia" w:ascii="仿宋" w:hAnsi="仿宋" w:eastAsia="仿宋"/>
          <w:sz w:val="24"/>
        </w:rPr>
        <w:t>联系方式：</w:t>
      </w:r>
      <w:bookmarkStart w:id="48" w:name="_Toc28359087"/>
      <w:bookmarkStart w:id="49" w:name="_Toc28359010"/>
      <w:r>
        <w:rPr>
          <w:rFonts w:hint="eastAsia" w:ascii="仿宋" w:hAnsi="仿宋" w:eastAsia="仿宋"/>
          <w:sz w:val="24"/>
        </w:rPr>
        <w:t>0871-65370478</w:t>
      </w:r>
    </w:p>
    <w:p>
      <w:pPr>
        <w:snapToGrid w:val="0"/>
        <w:spacing w:before="165" w:line="360" w:lineRule="auto"/>
        <w:jc w:val="left"/>
        <w:textAlignment w:val="baseline"/>
        <w:rPr>
          <w:rFonts w:ascii="仿宋" w:hAnsi="仿宋" w:eastAsia="仿宋"/>
          <w:sz w:val="24"/>
        </w:rPr>
      </w:pPr>
      <w:r>
        <w:rPr>
          <w:rFonts w:hint="eastAsia" w:ascii="仿宋" w:hAnsi="仿宋" w:eastAsia="仿宋"/>
          <w:sz w:val="24"/>
        </w:rPr>
        <w:t>　　3.项目联系方式</w:t>
      </w:r>
      <w:bookmarkEnd w:id="48"/>
      <w:bookmarkEnd w:id="49"/>
    </w:p>
    <w:p>
      <w:pPr>
        <w:snapToGrid w:val="0"/>
        <w:spacing w:line="440" w:lineRule="exact"/>
        <w:ind w:firstLine="480" w:firstLineChars="200"/>
        <w:textAlignment w:val="baseline"/>
        <w:rPr>
          <w:rFonts w:ascii="仿宋" w:hAnsi="仿宋" w:eastAsia="仿宋"/>
          <w:sz w:val="24"/>
        </w:rPr>
      </w:pPr>
      <w:r>
        <w:rPr>
          <w:rFonts w:hint="eastAsia" w:ascii="仿宋" w:hAnsi="仿宋" w:eastAsia="仿宋"/>
          <w:sz w:val="24"/>
        </w:rPr>
        <w:t>项目联系人：刘祖豪、周燚飞、符晓芳、雷时昆</w:t>
      </w:r>
    </w:p>
    <w:p>
      <w:pPr>
        <w:ind w:firstLine="480" w:firstLineChars="200"/>
      </w:pPr>
      <w:r>
        <w:rPr>
          <w:rFonts w:hint="eastAsia" w:ascii="仿宋" w:hAnsi="仿宋" w:eastAsia="仿宋"/>
          <w:sz w:val="24"/>
        </w:rPr>
        <w:t>电　　　话：0871-65370478</w:t>
      </w:r>
      <w:bookmarkEnd w:id="1"/>
    </w:p>
    <w:sectPr>
      <w:pgSz w:w="11906" w:h="16838"/>
      <w:pgMar w:top="1440" w:right="1133"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pStyle w:val="2"/>
      <w:lvlText w:val="%1"/>
      <w:lvlJc w:val="left"/>
      <w:pPr>
        <w:tabs>
          <w:tab w:val="left" w:pos="360"/>
        </w:tabs>
        <w:ind w:left="284" w:hanging="284"/>
      </w:pPr>
      <w:rPr>
        <w:rFonts w:hint="default" w:ascii="Times New Roman" w:hAnsi="Times New Roman"/>
        <w:b/>
        <w:i w:val="0"/>
        <w:sz w:val="28"/>
      </w:rPr>
    </w:lvl>
    <w:lvl w:ilvl="1" w:tentative="0">
      <w:start w:val="1"/>
      <w:numFmt w:val="decimal"/>
      <w:pStyle w:val="3"/>
      <w:lvlText w:val="%1.%2"/>
      <w:lvlJc w:val="left"/>
      <w:pPr>
        <w:tabs>
          <w:tab w:val="left" w:pos="1021"/>
        </w:tabs>
        <w:ind w:left="1021" w:hanging="596"/>
      </w:pPr>
      <w:rPr>
        <w:rFonts w:hint="default" w:ascii="Times New Roman" w:hAnsi="Times New Roman"/>
        <w:b/>
        <w:i w:val="0"/>
        <w:sz w:val="28"/>
      </w:rPr>
    </w:lvl>
    <w:lvl w:ilvl="2" w:tentative="0">
      <w:start w:val="1"/>
      <w:numFmt w:val="decimal"/>
      <w:pStyle w:val="4"/>
      <w:lvlText w:val="%1.%2.%3"/>
      <w:lvlJc w:val="left"/>
      <w:pPr>
        <w:tabs>
          <w:tab w:val="left" w:pos="1588"/>
        </w:tabs>
        <w:ind w:left="1588" w:hanging="737"/>
      </w:pPr>
      <w:rPr>
        <w:rFonts w:hint="default" w:ascii="Times New Roman" w:hAnsi="Times New Roman"/>
        <w:b/>
        <w:i w:val="0"/>
        <w:sz w:val="24"/>
      </w:rPr>
    </w:lvl>
    <w:lvl w:ilvl="3" w:tentative="0">
      <w:start w:val="1"/>
      <w:numFmt w:val="decimal"/>
      <w:pStyle w:val="5"/>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xMTBjODQwNDVmNDI0OTRmZjFkYTczYWVmNWMyZjQifQ=="/>
  </w:docVars>
  <w:rsids>
    <w:rsidRoot w:val="00E64B60"/>
    <w:rsid w:val="004E744C"/>
    <w:rsid w:val="00630F5D"/>
    <w:rsid w:val="00672798"/>
    <w:rsid w:val="009D421F"/>
    <w:rsid w:val="00DC5912"/>
    <w:rsid w:val="00E64B60"/>
    <w:rsid w:val="3FFA5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keepNext/>
      <w:keepLines/>
      <w:numPr>
        <w:ilvl w:val="0"/>
        <w:numId w:val="1"/>
      </w:numPr>
      <w:adjustRightInd w:val="0"/>
      <w:spacing w:before="120" w:line="360" w:lineRule="auto"/>
      <w:textAlignment w:val="baseline"/>
      <w:outlineLvl w:val="0"/>
    </w:pPr>
    <w:rPr>
      <w:rFonts w:eastAsia="黑体"/>
      <w:b/>
      <w:kern w:val="44"/>
      <w:sz w:val="28"/>
      <w:szCs w:val="20"/>
    </w:rPr>
  </w:style>
  <w:style w:type="paragraph" w:styleId="3">
    <w:name w:val="heading 2"/>
    <w:basedOn w:val="1"/>
    <w:next w:val="1"/>
    <w:link w:val="12"/>
    <w:qFormat/>
    <w:uiPriority w:val="0"/>
    <w:pPr>
      <w:keepNext/>
      <w:numPr>
        <w:ilvl w:val="1"/>
        <w:numId w:val="1"/>
      </w:numPr>
      <w:tabs>
        <w:tab w:val="left" w:pos="360"/>
      </w:tabs>
      <w:adjustRightInd w:val="0"/>
      <w:spacing w:before="120" w:line="360" w:lineRule="auto"/>
      <w:textAlignment w:val="baseline"/>
      <w:outlineLvl w:val="1"/>
    </w:pPr>
    <w:rPr>
      <w:rFonts w:eastAsia="黑体"/>
      <w:b/>
      <w:kern w:val="0"/>
      <w:sz w:val="28"/>
      <w:szCs w:val="20"/>
    </w:rPr>
  </w:style>
  <w:style w:type="paragraph" w:styleId="4">
    <w:name w:val="heading 3"/>
    <w:basedOn w:val="1"/>
    <w:next w:val="1"/>
    <w:link w:val="10"/>
    <w:qFormat/>
    <w:uiPriority w:val="0"/>
    <w:pPr>
      <w:numPr>
        <w:ilvl w:val="2"/>
        <w:numId w:val="1"/>
      </w:numPr>
      <w:tabs>
        <w:tab w:val="left" w:pos="360"/>
        <w:tab w:val="left" w:pos="900"/>
      </w:tabs>
      <w:adjustRightInd w:val="0"/>
      <w:spacing w:before="120" w:line="360" w:lineRule="auto"/>
      <w:textAlignment w:val="baseline"/>
      <w:outlineLvl w:val="2"/>
    </w:pPr>
    <w:rPr>
      <w:rFonts w:eastAsia="黑体"/>
      <w:b/>
      <w:kern w:val="0"/>
      <w:sz w:val="28"/>
      <w:szCs w:val="20"/>
    </w:rPr>
  </w:style>
  <w:style w:type="paragraph" w:styleId="5">
    <w:name w:val="heading 4"/>
    <w:basedOn w:val="1"/>
    <w:next w:val="1"/>
    <w:link w:val="11"/>
    <w:qFormat/>
    <w:uiPriority w:val="0"/>
    <w:pPr>
      <w:numPr>
        <w:ilvl w:val="3"/>
        <w:numId w:val="1"/>
      </w:numPr>
      <w:tabs>
        <w:tab w:val="left" w:pos="360"/>
      </w:tabs>
      <w:adjustRightInd w:val="0"/>
      <w:spacing w:before="120" w:line="360" w:lineRule="auto"/>
      <w:textAlignment w:val="baseline"/>
      <w:outlineLvl w:val="3"/>
    </w:pPr>
    <w:rPr>
      <w:rFonts w:ascii="Arial" w:hAnsi="Arial" w:eastAsia="黑体"/>
      <w:kern w:val="0"/>
      <w:sz w:val="28"/>
      <w:szCs w:val="20"/>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customStyle="1" w:styleId="8">
    <w:name w:val="标题 1 字符"/>
    <w:basedOn w:val="7"/>
    <w:uiPriority w:val="9"/>
    <w:rPr>
      <w:rFonts w:ascii="Times New Roman" w:hAnsi="Times New Roman" w:eastAsia="宋体" w:cs="Times New Roman"/>
      <w:b/>
      <w:bCs/>
      <w:kern w:val="44"/>
      <w:sz w:val="44"/>
      <w:szCs w:val="44"/>
    </w:rPr>
  </w:style>
  <w:style w:type="character" w:customStyle="1" w:styleId="9">
    <w:name w:val="标题 2 字符"/>
    <w:basedOn w:val="7"/>
    <w:semiHidden/>
    <w:uiPriority w:val="9"/>
    <w:rPr>
      <w:rFonts w:asciiTheme="majorHAnsi" w:hAnsiTheme="majorHAnsi" w:eastAsiaTheme="majorEastAsia" w:cstheme="majorBidi"/>
      <w:b/>
      <w:bCs/>
      <w:sz w:val="32"/>
      <w:szCs w:val="32"/>
    </w:rPr>
  </w:style>
  <w:style w:type="character" w:customStyle="1" w:styleId="10">
    <w:name w:val="标题 3 字符"/>
    <w:basedOn w:val="7"/>
    <w:link w:val="4"/>
    <w:uiPriority w:val="0"/>
    <w:rPr>
      <w:rFonts w:ascii="Times New Roman" w:hAnsi="Times New Roman" w:eastAsia="黑体" w:cs="Times New Roman"/>
      <w:b/>
      <w:kern w:val="0"/>
      <w:sz w:val="28"/>
      <w:szCs w:val="20"/>
    </w:rPr>
  </w:style>
  <w:style w:type="character" w:customStyle="1" w:styleId="11">
    <w:name w:val="标题 4 字符"/>
    <w:basedOn w:val="7"/>
    <w:link w:val="5"/>
    <w:uiPriority w:val="0"/>
    <w:rPr>
      <w:rFonts w:ascii="Arial" w:hAnsi="Arial" w:eastAsia="黑体" w:cs="Times New Roman"/>
      <w:kern w:val="0"/>
      <w:sz w:val="28"/>
      <w:szCs w:val="20"/>
    </w:rPr>
  </w:style>
  <w:style w:type="character" w:customStyle="1" w:styleId="12">
    <w:name w:val="标题 2 字符1"/>
    <w:link w:val="3"/>
    <w:qFormat/>
    <w:uiPriority w:val="0"/>
    <w:rPr>
      <w:rFonts w:ascii="Times New Roman" w:hAnsi="Times New Roman" w:eastAsia="黑体" w:cs="Times New Roman"/>
      <w:b/>
      <w:kern w:val="0"/>
      <w:sz w:val="28"/>
      <w:szCs w:val="20"/>
    </w:rPr>
  </w:style>
  <w:style w:type="character" w:customStyle="1" w:styleId="13">
    <w:name w:val="标题 1 字符1"/>
    <w:link w:val="2"/>
    <w:qFormat/>
    <w:uiPriority w:val="9"/>
    <w:rPr>
      <w:rFonts w:ascii="Times New Roman" w:hAnsi="Times New Roman" w:eastAsia="黑体" w:cs="Times New Roman"/>
      <w:b/>
      <w:kern w:val="44"/>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4064</Words>
  <Characters>4475</Characters>
  <Lines>100</Lines>
  <Paragraphs>91</Paragraphs>
  <TotalTime>24</TotalTime>
  <ScaleCrop>false</ScaleCrop>
  <LinksUpToDate>false</LinksUpToDate>
  <CharactersWithSpaces>4502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2022-07-27T15:26:00Z</dcterms:created>
  <dc:creator>NTKO</dc:creator>
  <cp:lastModifiedBy>佳佳</cp:lastModifiedBy>
  <dcterms:modified xsi:type="dcterms:W3CDTF">2022-07-28T08:30:36Z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E6492253BF5D40D29CFF112517657F80</vt:lpwstr>
  </property>
</Properties>
</file>